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33F4C8">
      <w:pPr>
        <w:pStyle w:val="19"/>
      </w:pPr>
    </w:p>
    <w:p w14:paraId="3B427659">
      <w:pPr>
        <w:pStyle w:val="19"/>
      </w:pPr>
      <w:r>
        <w:t>РЕПУБЛИКА СРБИЈА</w:t>
      </w:r>
    </w:p>
    <w:p w14:paraId="7FC2F810">
      <w:pPr>
        <w:pStyle w:val="19"/>
      </w:pPr>
      <w:r>
        <w:t>ОПШТИНА ЋИЋЕВАЦ</w:t>
      </w:r>
    </w:p>
    <w:p w14:paraId="75B385CE">
      <w:pPr>
        <w:pStyle w:val="19"/>
      </w:pPr>
      <w:r>
        <w:t>Одсек  за буџет, финансије,локалну пореску администрацију,</w:t>
      </w:r>
    </w:p>
    <w:p w14:paraId="032123C1">
      <w:pPr>
        <w:pStyle w:val="19"/>
      </w:pPr>
      <w:r>
        <w:t xml:space="preserve">привреду и локални економски развој </w:t>
      </w:r>
    </w:p>
    <w:p w14:paraId="29655697">
      <w:pPr>
        <w:pStyle w:val="19"/>
      </w:pPr>
      <w:r>
        <w:t xml:space="preserve"> Број: 400-</w:t>
      </w:r>
      <w:r>
        <w:rPr>
          <w:rFonts w:hint="default"/>
          <w:lang w:val="en-US"/>
        </w:rPr>
        <w:t>45</w:t>
      </w:r>
      <w:bookmarkStart w:id="0" w:name="_GoBack"/>
      <w:bookmarkEnd w:id="0"/>
      <w:r>
        <w:t>/2</w:t>
      </w:r>
      <w:r>
        <w:rPr>
          <w:rFonts w:hint="default"/>
          <w:lang w:val="en-US"/>
        </w:rPr>
        <w:t>5</w:t>
      </w:r>
      <w:r>
        <w:t>-01</w:t>
      </w:r>
    </w:p>
    <w:p w14:paraId="2FB7B088">
      <w:pPr>
        <w:pStyle w:val="19"/>
      </w:pPr>
      <w:r>
        <w:t xml:space="preserve"> Дана: </w:t>
      </w:r>
      <w:r>
        <w:rPr>
          <w:rFonts w:hint="default"/>
          <w:lang w:val="sr-Cyrl-RS"/>
        </w:rPr>
        <w:t>29</w:t>
      </w:r>
      <w:r>
        <w:t>.07.2024</w:t>
      </w:r>
      <w:r>
        <w:rPr>
          <w:lang w:val="sr-Latn-RS"/>
        </w:rPr>
        <w:t>.</w:t>
      </w:r>
      <w:r>
        <w:t xml:space="preserve"> године </w:t>
      </w:r>
    </w:p>
    <w:p w14:paraId="34FC1B70">
      <w:pPr>
        <w:pStyle w:val="19"/>
      </w:pPr>
      <w:r>
        <w:t xml:space="preserve"> Ћ И Ћ Е В А Ц </w:t>
      </w:r>
    </w:p>
    <w:p w14:paraId="46B55CD9">
      <w:pPr>
        <w:pStyle w:val="19"/>
      </w:pPr>
    </w:p>
    <w:p w14:paraId="36B7BD69">
      <w:pPr>
        <w:pStyle w:val="19"/>
      </w:pPr>
    </w:p>
    <w:p w14:paraId="41EA310C">
      <w:pPr>
        <w:jc w:val="center"/>
        <w:rPr>
          <w:b/>
        </w:rPr>
      </w:pPr>
      <w:r>
        <w:rPr>
          <w:b/>
        </w:rPr>
        <w:t>УПУТСТВО ЗА ПРИПРЕМУ НАЦРТА БУЏЕТА ОПШТИНЕ ЋИЋЕВАЦ  ЗА 202</w:t>
      </w:r>
      <w:r>
        <w:rPr>
          <w:rFonts w:hint="default"/>
          <w:b/>
          <w:lang w:val="en-US"/>
        </w:rPr>
        <w:t>6</w:t>
      </w:r>
      <w:r>
        <w:rPr>
          <w:b/>
        </w:rPr>
        <w:t>. ГОДИНУ И</w:t>
      </w:r>
      <w:r>
        <w:t xml:space="preserve"> </w:t>
      </w:r>
      <w:r>
        <w:rPr>
          <w:b/>
        </w:rPr>
        <w:t>ПРОЈЕКЦИЈА ЗА 202</w:t>
      </w:r>
      <w:r>
        <w:rPr>
          <w:rFonts w:hint="default"/>
          <w:b/>
          <w:lang w:val="en-US"/>
        </w:rPr>
        <w:t>7</w:t>
      </w:r>
      <w:r>
        <w:rPr>
          <w:b/>
        </w:rPr>
        <w:t>. И 202</w:t>
      </w:r>
      <w:r>
        <w:rPr>
          <w:rFonts w:hint="default"/>
          <w:b/>
          <w:lang w:val="en-US"/>
        </w:rPr>
        <w:t>8</w:t>
      </w:r>
      <w:r>
        <w:rPr>
          <w:b/>
        </w:rPr>
        <w:t>. ГОДИНУ</w:t>
      </w:r>
    </w:p>
    <w:p w14:paraId="50687346"/>
    <w:p w14:paraId="521B1D12"/>
    <w:p w14:paraId="753710CE">
      <w:pPr>
        <w:pStyle w:val="19"/>
        <w:ind w:firstLine="720"/>
        <w:jc w:val="both"/>
      </w:pPr>
      <w:r>
        <w:t>На основу члана  36а</w:t>
      </w:r>
      <w:r>
        <w:rPr>
          <w:b/>
        </w:rPr>
        <w:t xml:space="preserve">  Закона о буџетском систему („Сл. гласник РС“, бр. 54/2009, 73/2010, 101/2010, 101/2011, 93/2012, 62/2013-испр, 108/2013, 142/2014, 68/2015 (др.закон), 103/2015 , 99/2016 , 113/17, 95/18 ,31/19</w:t>
      </w:r>
      <w:r>
        <w:rPr>
          <w:b/>
          <w:bCs/>
        </w:rPr>
        <w:t xml:space="preserve"> ,72/19 ,149/20, 118/21, 138/22 и 118/21-др.закон </w:t>
      </w:r>
      <w:r>
        <w:rPr>
          <w:b/>
          <w:bCs/>
          <w:lang w:val="sr-Cyrl-RS"/>
        </w:rPr>
        <w:t xml:space="preserve"> и 92/2023</w:t>
      </w:r>
      <w:r>
        <w:rPr>
          <w:b/>
          <w:bCs/>
        </w:rPr>
        <w:t>)</w:t>
      </w:r>
      <w:r>
        <w:t xml:space="preserve"> Министар финансија доноси Упутство за припрему Одлуке о буџету локалне власти за 202</w:t>
      </w:r>
      <w:r>
        <w:rPr>
          <w:rFonts w:hint="default"/>
          <w:lang w:val="en-US"/>
        </w:rPr>
        <w:t>6</w:t>
      </w:r>
      <w:r>
        <w:t>. годину и пројекцијама за 202</w:t>
      </w:r>
      <w:r>
        <w:rPr>
          <w:rFonts w:hint="default"/>
          <w:lang w:val="en-US"/>
        </w:rPr>
        <w:t>7</w:t>
      </w:r>
      <w:r>
        <w:t>. и 202</w:t>
      </w:r>
      <w:r>
        <w:rPr>
          <w:rFonts w:hint="default"/>
          <w:lang w:val="en-US"/>
        </w:rPr>
        <w:t>8</w:t>
      </w:r>
      <w:r>
        <w:t>. годину.</w:t>
      </w:r>
    </w:p>
    <w:p w14:paraId="5C8CA3CC">
      <w:pPr>
        <w:pStyle w:val="19"/>
        <w:ind w:firstLine="720"/>
        <w:jc w:val="both"/>
      </w:pPr>
      <w:r>
        <w:t>У складу са чланом 36а Закона о буџетском систему , на основу овог упутства , директни корисници средстава буџета локалне власти припремају предлог финансијског плана за 202</w:t>
      </w:r>
      <w:r>
        <w:rPr>
          <w:rFonts w:hint="default"/>
          <w:lang w:val="en-US"/>
        </w:rPr>
        <w:t>6</w:t>
      </w:r>
      <w:r>
        <w:t>. годину, са пројекцијама за 202</w:t>
      </w:r>
      <w:r>
        <w:rPr>
          <w:rFonts w:hint="default"/>
          <w:lang w:val="en-US"/>
        </w:rPr>
        <w:t>7</w:t>
      </w:r>
      <w:r>
        <w:t>. и 202</w:t>
      </w:r>
      <w:r>
        <w:rPr>
          <w:rFonts w:hint="default"/>
          <w:lang w:val="en-US"/>
        </w:rPr>
        <w:t>8</w:t>
      </w:r>
      <w:r>
        <w:t>. годину и достављају га локалном органу управе надлежном за финансије.</w:t>
      </w:r>
    </w:p>
    <w:p w14:paraId="7A08E207">
      <w:pPr>
        <w:pStyle w:val="19"/>
        <w:numPr>
          <w:ilvl w:val="0"/>
          <w:numId w:val="1"/>
        </w:numPr>
        <w:ind w:firstLine="720"/>
        <w:jc w:val="both"/>
        <w:rPr>
          <w:rFonts w:hint="default"/>
          <w:b/>
          <w:bCs/>
          <w:lang w:val="sr-Cyrl-RS"/>
        </w:rPr>
      </w:pPr>
      <w:r>
        <w:rPr>
          <w:rFonts w:hint="default"/>
          <w:b/>
          <w:bCs/>
          <w:lang w:val="sr-Cyrl-RS"/>
        </w:rPr>
        <w:t xml:space="preserve">Програмска структура буџета </w:t>
      </w:r>
    </w:p>
    <w:p w14:paraId="7488C14E">
      <w:pPr>
        <w:pStyle w:val="19"/>
        <w:numPr>
          <w:ilvl w:val="0"/>
          <w:numId w:val="0"/>
        </w:numPr>
        <w:jc w:val="both"/>
        <w:rPr>
          <w:rFonts w:hint="default"/>
          <w:lang w:val="sr-Cyrl-RS"/>
        </w:rPr>
      </w:pPr>
    </w:p>
    <w:p w14:paraId="1A74B7C8">
      <w:pPr>
        <w:pStyle w:val="19"/>
        <w:jc w:val="both"/>
      </w:pPr>
      <w:r>
        <w:tab/>
      </w:r>
      <w:r>
        <w:t>Унапређење буџетског процеса кроз примену програмског буџетирања представља део реформе управљања јавним финансијама којим се ставља нагласак на утврђивање приоритета и оптимизацију потрошње у циљу подстицања привредног раста и ефикасног пружања квалитетних услуга јавне управе.</w:t>
      </w:r>
    </w:p>
    <w:p w14:paraId="0ABB3200">
      <w:pPr>
        <w:pStyle w:val="19"/>
        <w:ind w:firstLine="720"/>
        <w:jc w:val="both"/>
      </w:pPr>
      <w:r>
        <w:t>Упутство за израду програмског буџета ЈЛС , као и Анекс 5 којим је дефинисана униформна програмска структура буџета ЈЛС за израду одлуке о буџету ЈЛС за 2025</w:t>
      </w:r>
      <w:r>
        <w:rPr>
          <w:lang w:val="sr-Cyrl-RS"/>
        </w:rPr>
        <w:t>.</w:t>
      </w:r>
      <w:r>
        <w:t xml:space="preserve"> годину и документ који садржи циљеве програма и програмских активности и листу униформних индикатора могу се наћи на сајту Министарства финансија (</w:t>
      </w:r>
      <w:r>
        <w:fldChar w:fldCharType="begin"/>
      </w:r>
      <w:r>
        <w:instrText xml:space="preserve"> HYPERLINK "http://www.mfin.gov.rs/" \h </w:instrText>
      </w:r>
      <w:r>
        <w:fldChar w:fldCharType="separate"/>
      </w:r>
      <w:r>
        <w:rPr>
          <w:rStyle w:val="10"/>
        </w:rPr>
        <w:t>www.mfin.gov.rs</w:t>
      </w:r>
      <w:r>
        <w:rPr>
          <w:rStyle w:val="10"/>
        </w:rPr>
        <w:fldChar w:fldCharType="end"/>
      </w:r>
      <w:r>
        <w:t>).</w:t>
      </w:r>
    </w:p>
    <w:p w14:paraId="24B8857B">
      <w:pPr>
        <w:pStyle w:val="19"/>
        <w:ind w:firstLine="720"/>
        <w:jc w:val="both"/>
      </w:pPr>
    </w:p>
    <w:p w14:paraId="0E66CF65">
      <w:pPr>
        <w:pStyle w:val="19"/>
        <w:numPr>
          <w:ilvl w:val="0"/>
          <w:numId w:val="1"/>
        </w:numPr>
        <w:ind w:left="0" w:leftChars="0" w:firstLine="720" w:firstLineChars="0"/>
        <w:jc w:val="both"/>
        <w:rPr>
          <w:rFonts w:hint="default"/>
          <w:b/>
          <w:bCs/>
          <w:lang w:val="sr-Cyrl-RS"/>
        </w:rPr>
      </w:pPr>
      <w:r>
        <w:rPr>
          <w:rFonts w:hint="default"/>
          <w:b/>
          <w:bCs/>
          <w:lang w:val="sr-Cyrl-RS"/>
        </w:rPr>
        <w:t>Опште напомене  за припрему одлуке о буџету Општине Ћићевац</w:t>
      </w:r>
    </w:p>
    <w:p w14:paraId="26BF91E6">
      <w:pPr>
        <w:pStyle w:val="19"/>
        <w:numPr>
          <w:ilvl w:val="0"/>
          <w:numId w:val="0"/>
        </w:numPr>
        <w:ind w:left="720" w:leftChars="0"/>
        <w:jc w:val="both"/>
        <w:rPr>
          <w:rFonts w:hint="default"/>
          <w:b/>
          <w:bCs/>
          <w:lang w:val="sr-Cyrl-RS"/>
        </w:rPr>
      </w:pPr>
    </w:p>
    <w:p w14:paraId="4A79E245">
      <w:pPr>
        <w:pStyle w:val="19"/>
        <w:ind w:firstLine="720"/>
        <w:jc w:val="both"/>
      </w:pPr>
      <w:r>
        <w:t>Полазећи од одредаба Закона о буџетском систему , којима је дефинисано да одлука о буџету ЈЛС треба да буде креирана уз поштовање све четири класификације које сачињавају стандардни класификациони оквир за буџетски систем , према изворима финансирања , посебно указујемо на неопходност поштовања одредаба члана 2. тач. 7) и 8) Закона о буџетском систему којима су дефинисани директни и индиректни корисници буџетских средстава.</w:t>
      </w:r>
    </w:p>
    <w:p w14:paraId="40EA5AB7">
      <w:pPr>
        <w:pStyle w:val="19"/>
        <w:ind w:firstLine="720"/>
        <w:jc w:val="both"/>
      </w:pPr>
      <w:r>
        <w:t>Оснивање корисника буџетских средстава мора да има утемељење у закону или другом пропису, у супротном сматраће се да није доследно спроведена одредба члана 2. тач. 7) и 8) Закона о буџетском систему, којима је дефинисан појам директних и индиректних корисника буџетских средстава.</w:t>
      </w:r>
    </w:p>
    <w:p w14:paraId="79A6FCAA">
      <w:pPr>
        <w:pStyle w:val="19"/>
        <w:ind w:firstLine="720"/>
        <w:jc w:val="both"/>
      </w:pPr>
      <w:r>
        <w:t xml:space="preserve">У контексту исказивања установа као индиректних корисника буџетских средстава у одлуци о буџету , </w:t>
      </w:r>
      <w:r>
        <w:rPr>
          <w:b/>
          <w:bCs/>
        </w:rPr>
        <w:t xml:space="preserve">не могу се спајати установе </w:t>
      </w:r>
      <w:r>
        <w:t xml:space="preserve">које обављају различите делатности имајући у виду да су делатности које обављају ове установе уређене различитим прописима, као и да се коефицијенти и други елементи за обрачун и исплату плата запослених у установама утврђују у зависности од врсте делатности установе. </w:t>
      </w:r>
    </w:p>
    <w:p w14:paraId="1637EBF6">
      <w:pPr>
        <w:pStyle w:val="19"/>
        <w:ind w:firstLine="720"/>
        <w:jc w:val="both"/>
      </w:pPr>
      <w:r>
        <w:t>Такође, у складу са чланом 2. тачка 31) Закона о буџетском систему апропријације за индиректне кориснике буџетских средстава исказују се збирно по врстама индиректних корисника и наменама у оквиру раздела директног корисника који је, у буџетском смислу, одговоран за те индиректне кориснике буџетских средстава.</w:t>
      </w:r>
    </w:p>
    <w:p w14:paraId="46E3E22A">
      <w:pPr>
        <w:pStyle w:val="6"/>
        <w:spacing w:before="14" w:line="266" w:lineRule="auto"/>
        <w:ind w:left="14" w:right="125" w:firstLine="725"/>
        <w:rPr>
          <w:rFonts w:hint="default"/>
          <w:lang w:val="sr-Cyrl-RS"/>
        </w:rPr>
      </w:pPr>
      <w:r>
        <w:t>Законом о буџетском систему је прописано да одредбе закона којима се уређује коришћење</w:t>
      </w:r>
      <w:r>
        <w:rPr>
          <w:spacing w:val="-3"/>
        </w:rPr>
        <w:t xml:space="preserve"> </w:t>
      </w:r>
      <w:r>
        <w:t>и</w:t>
      </w:r>
      <w:r>
        <w:rPr>
          <w:spacing w:val="-1"/>
        </w:rPr>
        <w:t xml:space="preserve"> </w:t>
      </w:r>
      <w:r>
        <w:t>расподела</w:t>
      </w:r>
      <w:r>
        <w:rPr>
          <w:spacing w:val="-3"/>
        </w:rPr>
        <w:t xml:space="preserve"> </w:t>
      </w:r>
      <w:r>
        <w:t>сопствених</w:t>
      </w:r>
      <w:r>
        <w:rPr>
          <w:spacing w:val="-2"/>
        </w:rPr>
        <w:t xml:space="preserve"> </w:t>
      </w:r>
      <w:r>
        <w:t>прихода</w:t>
      </w:r>
      <w:r>
        <w:rPr>
          <w:spacing w:val="-3"/>
        </w:rPr>
        <w:t xml:space="preserve"> </w:t>
      </w:r>
      <w:r>
        <w:t>које</w:t>
      </w:r>
      <w:r>
        <w:rPr>
          <w:spacing w:val="-3"/>
        </w:rPr>
        <w:t xml:space="preserve"> </w:t>
      </w:r>
      <w:r>
        <w:t>остваре установе</w:t>
      </w:r>
      <w:r>
        <w:rPr>
          <w:spacing w:val="-4"/>
        </w:rPr>
        <w:t xml:space="preserve"> </w:t>
      </w:r>
      <w:r>
        <w:t>основане</w:t>
      </w:r>
      <w:r>
        <w:rPr>
          <w:spacing w:val="-3"/>
        </w:rPr>
        <w:t xml:space="preserve"> </w:t>
      </w:r>
      <w:r>
        <w:t>од</w:t>
      </w:r>
      <w:r>
        <w:rPr>
          <w:spacing w:val="-2"/>
        </w:rPr>
        <w:t xml:space="preserve"> </w:t>
      </w:r>
      <w:r>
        <w:t>стране</w:t>
      </w:r>
      <w:r>
        <w:rPr>
          <w:spacing w:val="-3"/>
        </w:rPr>
        <w:t xml:space="preserve"> </w:t>
      </w:r>
      <w:r>
        <w:t>локалне власти над којима оснивач, преко директних корисника буџетских средстава, врши законом утврђена права у погледу управљања и финансирања, престају да важе кад се за то створе технички услови</w:t>
      </w:r>
      <w:r>
        <w:rPr>
          <w:rFonts w:hint="default"/>
          <w:lang w:val="sr-Cyrl-RS"/>
        </w:rPr>
        <w:t>.</w:t>
      </w:r>
    </w:p>
    <w:p w14:paraId="7A640CE9">
      <w:pPr>
        <w:pStyle w:val="19"/>
        <w:ind w:firstLine="720"/>
        <w:jc w:val="both"/>
      </w:pPr>
      <w:r>
        <w:t xml:space="preserve">С обзиром на то да је законодавац оставио могућност да установе до даљњег  могу да користе сопствене приходе у складу са законом, </w:t>
      </w:r>
      <w:r>
        <w:rPr>
          <w:b/>
          <w:bCs/>
        </w:rPr>
        <w:t xml:space="preserve">надлежни орган треба да преиспита основаност и оправданост постојања рачуна сопствених прихода индиректних корисника буџетских средстава </w:t>
      </w:r>
      <w:r>
        <w:t xml:space="preserve"> у случају када коришћење и расподела тих прихода није уређена посебним законима. Уколико буџетски корисник остварује сопствене приходе , у складу са посебним законима, надлежни орган локалне власти дужан је да води рачуна да тај корисник извршава расходе и издатке првенствено из тог и других извора, па тек из извора 01-Приходи из буџета.</w:t>
      </w:r>
    </w:p>
    <w:p w14:paraId="6B5050F6">
      <w:pPr>
        <w:pStyle w:val="19"/>
        <w:ind w:firstLine="720"/>
        <w:jc w:val="both"/>
      </w:pPr>
      <w:r>
        <w:t>Јавне приходе остварене по основу пружања услуга боравка деце у предшколским установама треба планирати на извору 01-Приходи из буџета. Како би предшколске установе могле да прате остварење ових прихода , односно извршавање обавеза родитеља по том основу, потребно је да надлежни орган ЈЛС изводе о оствареним уплатама овог прихода достављају предшколским  установама. Уколико ЈЛС поступе по наведеним препорукама , а при том у Табели 1 (Прилог 1) искажу средства за плате запослених у предшколским установама на извору 04-Сопствени приходи буџетских корисника, неопходно је да у образложењу одлуке о буџету наведу правни основ за планирање наведених расхода са тим извором финансирања.</w:t>
      </w:r>
    </w:p>
    <w:p w14:paraId="033ED333">
      <w:pPr>
        <w:pStyle w:val="19"/>
        <w:ind w:firstLine="720"/>
        <w:jc w:val="both"/>
      </w:pPr>
      <w:r>
        <w:t xml:space="preserve">У вези увођења принципа родно одговорног буџетирања у буџетски процес неопходно је да надлежни орган локалне власти на годишњем нивоу донесе план поступног увођења родно одговорног буџетирања, којим ће одредити једног или више корисника буџетских средства и један или више програма опредељеног буџетског корисника за који ће се дефинисати најмање један родно одговорни циљ или одговарајући показатељ који адекватно мере допринос циља унапређењу равноправности између жена и мушкараца. </w:t>
      </w:r>
    </w:p>
    <w:p w14:paraId="43EA19B5">
      <w:pPr>
        <w:pStyle w:val="19"/>
        <w:ind w:firstLine="720"/>
        <w:jc w:val="both"/>
      </w:pPr>
      <w:r>
        <w:rPr>
          <w:rFonts w:hint="default"/>
          <w:lang w:val="sr-Cyrl-RS"/>
        </w:rPr>
        <w:t>Израда грађанског буџета, као инструмента за повећање танспарентног исказивања на који начин и у које сврхе се користе јавна средства, представља својеврстан водич за грађане којима треба да се приближи надлежност и начин финансирања послова који се обављају у њиховим општинама и градовима. У циљу информисања и појашњења грађанима о начину трошења и за које сврхе се троше буџетска средства, потребно је да локална власт на једноставан и разумљив начин прикаже свој буџет са информацијама о буџетским приходима  и примањаима, расходима и издацима, изворима финансирања, буџетским корисницима и сл. и објави га на својој интернет страници.</w:t>
      </w:r>
    </w:p>
    <w:p w14:paraId="1C38F950">
      <w:pPr>
        <w:spacing w:after="29" w:line="228" w:lineRule="auto"/>
        <w:ind w:right="80"/>
        <w:jc w:val="both"/>
        <w:rPr>
          <w:rFonts w:ascii="Calibri" w:hAnsi="Calibri" w:eastAsia="Times New Roman" w:cs="Times New Roman"/>
        </w:rPr>
      </w:pPr>
      <w:r>
        <w:rPr>
          <w:rFonts w:eastAsia="Times New Roman" w:cs="Times New Roman"/>
        </w:rPr>
        <w:t xml:space="preserve">        Имајући у виду обавезу корисника буџета да на основу праћења спровођења програма, у складу са Упуством за праћење и извештавање о учинку програма, израђују годишњи извештај о учинку програма (за последњу завршену фискалну годину), односно извештај о учинку програма за првих шест месеци текуће фискалне године (полугодишњи извештај) и достављају надлежном органу у роковима предвиђеним буџетским календаром неопходно је, да би се адекватно мерио учинак потрошње и добијале информације које се користе за унапређење ефективности и ефикасности јавне потрошње, да се приликом дефинисања показатеља тежити ка томе да они задовоље критеријум СМАРТ. Буџетски корисници дужни су да на својим интернет страницама објављују годишње финансијске извештаје и годишњи извештај о учинку програма, у складу са општим правилима о транспарентности.</w:t>
      </w:r>
    </w:p>
    <w:p w14:paraId="50C124DE">
      <w:pPr>
        <w:spacing w:after="0" w:line="228" w:lineRule="auto"/>
        <w:ind w:right="80"/>
        <w:jc w:val="both"/>
        <w:rPr>
          <w:rFonts w:ascii="Calibri" w:hAnsi="Calibri" w:eastAsia="Times New Roman" w:cs="Times New Roman"/>
        </w:rPr>
      </w:pPr>
      <w:r>
        <w:rPr>
          <w:rFonts w:eastAsia="Times New Roman" w:cs="Times New Roman"/>
        </w:rPr>
        <w:t xml:space="preserve">      У складу са чланом 28. Закона о буџетском систему образложење одлуке о буџету садржи, између осталог, програмске информације које чине описи програма, програмских активности и пројеката корисника буџетских средстава, циљеве који се желе постићи у средњорочном периоду, као и показатеље учинака за праћење постизања наведених циљева.</w:t>
      </w:r>
    </w:p>
    <w:p w14:paraId="1CB028F9">
      <w:pPr>
        <w:spacing w:after="0" w:line="247" w:lineRule="auto"/>
        <w:jc w:val="both"/>
        <w:rPr>
          <w:rFonts w:ascii="Calibri" w:hAnsi="Calibri" w:eastAsia="Times New Roman" w:cs="Times New Roman"/>
        </w:rPr>
      </w:pPr>
      <w:r>
        <w:rPr>
          <w:rFonts w:eastAsia="Times New Roman" w:cs="Times New Roman"/>
        </w:rPr>
        <w:t xml:space="preserve">        Законом о изменама и допунама Закона о буџетском систему („Службени гласник РС”, број 103/15) измењена је дефиниција наменских прихода, тако да су према усвојеном решењу наменски јавни приходи и примања дефинисани као јавни приходи, односно примања чије је коришћење и намена утврђена уговором о донацији, кредиту, односно зајму, као и средства самодоприноса чија се намена утврђује одлуком јединице локалне самоуправе.</w:t>
      </w:r>
    </w:p>
    <w:p w14:paraId="58C6F1E7">
      <w:pPr>
        <w:tabs>
          <w:tab w:val="left" w:pos="1436"/>
        </w:tabs>
        <w:spacing w:line="235" w:lineRule="auto"/>
        <w:jc w:val="both"/>
        <w:rPr>
          <w:rFonts w:ascii="Calibri" w:hAnsi="Calibri" w:eastAsia="Times New Roman" w:cs="Times New Roman"/>
        </w:rPr>
      </w:pPr>
      <w:r>
        <w:rPr>
          <w:rFonts w:eastAsia="Times New Roman" w:cs="Times New Roman"/>
        </w:rPr>
        <w:t xml:space="preserve">       У поступку припреме и доношења буџета, треба планирати расходе за реализацију мера и активности утврђених посебним законима, у оквиру одређених програма, програмских активности, односно пројеката, с тим што се </w:t>
      </w:r>
      <w:r>
        <w:rPr>
          <w:rFonts w:eastAsia="Times New Roman" w:cs="Times New Roman"/>
          <w:b/>
        </w:rPr>
        <w:t>исти могу извршавати само до висине апропријације утврђене одлуком о буџету</w:t>
      </w:r>
      <w:r>
        <w:rPr>
          <w:rFonts w:eastAsia="Times New Roman" w:cs="Times New Roman"/>
        </w:rPr>
        <w:t xml:space="preserve">, </w:t>
      </w:r>
      <w:r>
        <w:rPr>
          <w:rFonts w:eastAsia="Times New Roman" w:cs="Times New Roman"/>
          <w:b/>
        </w:rPr>
        <w:t>без обзира на то да ли су ови приходи остварени у већем или мањем обиму од планираног.</w:t>
      </w:r>
    </w:p>
    <w:p w14:paraId="633B164A">
      <w:pPr>
        <w:spacing w:after="0" w:line="235" w:lineRule="auto"/>
        <w:ind w:left="8" w:firstLine="1210"/>
        <w:jc w:val="both"/>
        <w:rPr>
          <w:rFonts w:ascii="Calibri" w:hAnsi="Calibri"/>
        </w:rPr>
      </w:pPr>
      <w:r>
        <w:rPr>
          <w:rFonts w:eastAsia="Times New Roman" w:cs="Times New Roman"/>
        </w:rPr>
        <w:t xml:space="preserve">Уколико се у току године остваре наведени приходи у обиму већем од планираног актом у буџету, </w:t>
      </w:r>
      <w:r>
        <w:rPr>
          <w:rFonts w:eastAsia="Times New Roman" w:cs="Times New Roman"/>
          <w:b/>
        </w:rPr>
        <w:t>исти се могу користити и за извршавање других врста расхода</w:t>
      </w:r>
      <w:r>
        <w:rPr>
          <w:rFonts w:eastAsia="Times New Roman" w:cs="Times New Roman"/>
        </w:rPr>
        <w:t>, с обзиром на то да представљају опште приходе буџета којима се финансира јавна потрошња и који немају претходно утврђену намену. Такође, планирање висине расхода за намене предвиђене посебним прописима (чије одредбе нису стављени ван снаге) у поступку припреме и доношења буџета за наредну годину није условљено висином остварења тих прихода у текућој години.</w:t>
      </w:r>
    </w:p>
    <w:p w14:paraId="6CD2F9E2">
      <w:pPr>
        <w:tabs>
          <w:tab w:val="left" w:pos="963"/>
        </w:tabs>
        <w:spacing w:after="29" w:line="235" w:lineRule="auto"/>
        <w:jc w:val="both"/>
        <w:rPr>
          <w:rFonts w:ascii="Calibri" w:hAnsi="Calibri"/>
        </w:rPr>
      </w:pPr>
      <w:r>
        <w:rPr>
          <w:rFonts w:eastAsia="Times New Roman" w:cs="Times New Roman"/>
        </w:rPr>
        <w:t xml:space="preserve">          У складу са чланом 27а Закона о буџетском систему извршни орган локалне власти је одговоран за спровођење фискалне политике и управљање јавном имовином, приходима и примањима и расходима и издацима. Законом су уређена правила и начин на који ће се спроводити ова одговорност, односно утврђени су општи принципи, процедуре и правила одговорног фискалног управљања којих се требају придржавати органи локалне власти (члан 27б Закона). С обзиром на то да су, у циљу што ефикаснијег спровођења фискалне политике, Законом утврђена и фискална правила за локалну власт, односно Законом је утврђено ограничење у погледу висине стварања фискалног дефицита (члан 27ж Закона), фискални дефицит локалне власти може настати само као резултат јавних инвестиција и </w:t>
      </w:r>
      <w:r>
        <w:rPr>
          <w:rFonts w:eastAsia="Times New Roman" w:cs="Times New Roman"/>
          <w:b/>
        </w:rPr>
        <w:t>не може</w:t>
      </w:r>
      <w:r>
        <w:rPr>
          <w:rFonts w:eastAsia="Times New Roman" w:cs="Times New Roman"/>
        </w:rPr>
        <w:t xml:space="preserve"> бити већи од 10% њених прихода у тој години. Поред наведеног Чланом 27ж Закона је прописано да наведени законски лимит  може бити прекорачен само уколико јединица локалне самоуправе добије предходно одобрење Министарства финансија.</w:t>
      </w:r>
    </w:p>
    <w:p w14:paraId="74C94D9B">
      <w:pPr>
        <w:tabs>
          <w:tab w:val="left" w:pos="963"/>
        </w:tabs>
        <w:spacing w:after="86" w:line="235" w:lineRule="auto"/>
        <w:ind w:left="8"/>
        <w:jc w:val="both"/>
        <w:rPr>
          <w:rFonts w:ascii="Calibri" w:hAnsi="Calibri"/>
        </w:rPr>
      </w:pPr>
      <w:r>
        <w:rPr>
          <w:rFonts w:eastAsia="Times New Roman" w:cs="Times New Roman"/>
        </w:rPr>
        <w:t xml:space="preserve">          Захтев за добијање одобрења за прекорачење фискалног дефицита од 10% планираних текућих прихода се подноси Министарству финансија најкасније до 01. </w:t>
      </w:r>
      <w:r>
        <w:rPr>
          <w:rFonts w:eastAsia="Times New Roman" w:cs="Times New Roman"/>
          <w:lang w:val="sr-Cyrl-RS"/>
        </w:rPr>
        <w:t>октобра</w:t>
      </w:r>
      <w:r>
        <w:rPr>
          <w:rFonts w:eastAsia="Times New Roman" w:cs="Times New Roman"/>
        </w:rPr>
        <w:t xml:space="preserve"> текуће године, за наредну буџетску годину, а изузетно захтев за прекорачење може се поднети након 01. </w:t>
      </w:r>
      <w:r>
        <w:rPr>
          <w:rFonts w:eastAsia="Times New Roman" w:cs="Times New Roman"/>
          <w:lang w:val="sr-Cyrl-RS"/>
        </w:rPr>
        <w:t>октобра</w:t>
      </w:r>
      <w:r>
        <w:rPr>
          <w:rFonts w:eastAsia="Times New Roman" w:cs="Times New Roman"/>
        </w:rPr>
        <w:t xml:space="preserve"> текуће године, најкасније до 31.01. наредне године, уколико је прекорачење фискалног дефицита резултат примљених трансферних средстава од другог нивоа власти након истека рока из члана 27ж став 5. Закона.</w:t>
      </w:r>
    </w:p>
    <w:p w14:paraId="69B332E9">
      <w:pPr>
        <w:tabs>
          <w:tab w:val="left" w:pos="963"/>
        </w:tabs>
        <w:spacing w:line="235" w:lineRule="auto"/>
        <w:ind w:left="8"/>
        <w:jc w:val="both"/>
        <w:rPr>
          <w:rFonts w:ascii="Calibri" w:hAnsi="Calibri"/>
        </w:rPr>
      </w:pPr>
    </w:p>
    <w:p w14:paraId="1AB4FB60">
      <w:pPr>
        <w:numPr>
          <w:ilvl w:val="0"/>
          <w:numId w:val="1"/>
        </w:numPr>
        <w:ind w:left="0" w:leftChars="0" w:firstLine="720" w:firstLineChars="0"/>
        <w:rPr>
          <w:b/>
          <w:bCs w:val="0"/>
        </w:rPr>
      </w:pPr>
      <w:r>
        <w:rPr>
          <w:b/>
          <w:bCs w:val="0"/>
          <w:lang w:val="sr-Cyrl-RS"/>
        </w:rPr>
        <w:t>О</w:t>
      </w:r>
      <w:r>
        <w:rPr>
          <w:b/>
          <w:bCs w:val="0"/>
        </w:rPr>
        <w:t xml:space="preserve">сновне економске претпоставке и смернице за припрему </w:t>
      </w:r>
      <w:r>
        <w:rPr>
          <w:b/>
          <w:bCs w:val="0"/>
          <w:lang w:val="sr-Cyrl-RS"/>
        </w:rPr>
        <w:t>предлога</w:t>
      </w:r>
      <w:r>
        <w:rPr>
          <w:rFonts w:hint="default"/>
          <w:b/>
          <w:bCs w:val="0"/>
          <w:lang w:val="sr-Cyrl-RS"/>
        </w:rPr>
        <w:t xml:space="preserve"> финасијског плана буџетског корисника и одлуке о </w:t>
      </w:r>
      <w:r>
        <w:rPr>
          <w:b/>
          <w:bCs w:val="0"/>
        </w:rPr>
        <w:t xml:space="preserve"> буџет</w:t>
      </w:r>
      <w:r>
        <w:rPr>
          <w:b/>
          <w:bCs w:val="0"/>
          <w:lang w:val="sr-Cyrl-RS"/>
        </w:rPr>
        <w:t>у</w:t>
      </w:r>
      <w:r>
        <w:rPr>
          <w:b/>
          <w:bCs w:val="0"/>
        </w:rPr>
        <w:t xml:space="preserve"> општине ћићевац за 202</w:t>
      </w:r>
      <w:r>
        <w:rPr>
          <w:rFonts w:hint="default"/>
          <w:b/>
          <w:bCs w:val="0"/>
          <w:lang w:val="sr-Cyrl-RS"/>
        </w:rPr>
        <w:t>6</w:t>
      </w:r>
      <w:r>
        <w:rPr>
          <w:b/>
          <w:bCs w:val="0"/>
        </w:rPr>
        <w:t xml:space="preserve">. годину </w:t>
      </w:r>
    </w:p>
    <w:p w14:paraId="650CB8E2">
      <w:pPr>
        <w:rPr>
          <w:b w:val="0"/>
          <w:bCs/>
        </w:rPr>
      </w:pPr>
    </w:p>
    <w:p w14:paraId="159DFA8D">
      <w:pPr>
        <w:spacing w:before="0"/>
        <w:ind w:left="725" w:right="0" w:firstLine="0"/>
        <w:jc w:val="left"/>
        <w:rPr>
          <w:b w:val="0"/>
          <w:bCs/>
          <w:sz w:val="24"/>
        </w:rPr>
      </w:pPr>
      <w:r>
        <w:rPr>
          <w:rFonts w:hint="default"/>
          <w:b w:val="0"/>
          <w:bCs/>
          <w:lang w:val="sr-Cyrl-RS"/>
        </w:rPr>
        <w:t xml:space="preserve">      </w:t>
      </w:r>
      <w:r>
        <w:rPr>
          <w:b w:val="0"/>
          <w:bCs/>
          <w:sz w:val="24"/>
        </w:rPr>
        <w:t>Правци</w:t>
      </w:r>
      <w:r>
        <w:rPr>
          <w:b w:val="0"/>
          <w:bCs/>
          <w:spacing w:val="-2"/>
          <w:sz w:val="24"/>
        </w:rPr>
        <w:t xml:space="preserve"> </w:t>
      </w:r>
      <w:r>
        <w:rPr>
          <w:b w:val="0"/>
          <w:bCs/>
          <w:sz w:val="24"/>
        </w:rPr>
        <w:t>фискалне</w:t>
      </w:r>
      <w:r>
        <w:rPr>
          <w:b w:val="0"/>
          <w:bCs/>
          <w:spacing w:val="-2"/>
          <w:sz w:val="24"/>
        </w:rPr>
        <w:t xml:space="preserve"> </w:t>
      </w:r>
      <w:r>
        <w:rPr>
          <w:b w:val="0"/>
          <w:bCs/>
          <w:sz w:val="24"/>
        </w:rPr>
        <w:t>политике</w:t>
      </w:r>
      <w:r>
        <w:rPr>
          <w:b w:val="0"/>
          <w:bCs/>
          <w:spacing w:val="-3"/>
          <w:sz w:val="24"/>
        </w:rPr>
        <w:t xml:space="preserve"> </w:t>
      </w:r>
      <w:r>
        <w:rPr>
          <w:b w:val="0"/>
          <w:bCs/>
          <w:sz w:val="24"/>
        </w:rPr>
        <w:t>у 2026.</w:t>
      </w:r>
      <w:r>
        <w:rPr>
          <w:b w:val="0"/>
          <w:bCs/>
          <w:spacing w:val="-2"/>
          <w:sz w:val="24"/>
        </w:rPr>
        <w:t xml:space="preserve"> години</w:t>
      </w:r>
    </w:p>
    <w:p w14:paraId="5027DCEE">
      <w:pPr>
        <w:pStyle w:val="6"/>
        <w:spacing w:before="2"/>
        <w:jc w:val="left"/>
        <w:rPr>
          <w:b/>
        </w:rPr>
      </w:pPr>
    </w:p>
    <w:p w14:paraId="7914F792">
      <w:pPr>
        <w:pStyle w:val="6"/>
        <w:spacing w:line="266" w:lineRule="auto"/>
        <w:ind w:left="14" w:right="287" w:firstLine="710"/>
      </w:pPr>
      <w:r>
        <w:t>Упркос изазовним глобалним и регионалним условима, српска привреда је показала висок степен отпорности, што је резултат диверсификоване економске структуре и стабилне домаће потражње. У периоду од 2020. до 2024. године, кумулативни реални раст БДП-а износио је 18,4%, праћен историјски ниским нивоом незапослености и континуираним повећањем реалних зарада. Током 2024. године макроекономска кретања су била у складу са очекивањима – остварен је реални раст БДП од 3,9%, док је инфлација стабилизована у циљаним оквирима Народне банке Србије. Снажни макроекономски показатељи, рекордни приливи инвестиција и доследна примена одрживе фискалне политике довели су до тога да Србија први пут оствари инвестициони кредитни рејтинг.</w:t>
      </w:r>
    </w:p>
    <w:p w14:paraId="4EB4C737">
      <w:pPr>
        <w:pStyle w:val="6"/>
        <w:spacing w:before="18" w:line="266" w:lineRule="auto"/>
        <w:ind w:left="14" w:right="290" w:firstLine="710"/>
      </w:pPr>
      <w:r>
        <w:t>Први</w:t>
      </w:r>
      <w:r>
        <w:rPr>
          <w:spacing w:val="-12"/>
        </w:rPr>
        <w:t xml:space="preserve"> </w:t>
      </w:r>
      <w:r>
        <w:t>квартал</w:t>
      </w:r>
      <w:r>
        <w:rPr>
          <w:spacing w:val="-13"/>
        </w:rPr>
        <w:t xml:space="preserve"> </w:t>
      </w:r>
      <w:r>
        <w:t>2025.</w:t>
      </w:r>
      <w:r>
        <w:rPr>
          <w:spacing w:val="-11"/>
        </w:rPr>
        <w:t xml:space="preserve"> </w:t>
      </w:r>
      <w:r>
        <w:t>године</w:t>
      </w:r>
      <w:r>
        <w:rPr>
          <w:spacing w:val="-14"/>
        </w:rPr>
        <w:t xml:space="preserve"> </w:t>
      </w:r>
      <w:r>
        <w:t>донео</w:t>
      </w:r>
      <w:r>
        <w:rPr>
          <w:spacing w:val="-13"/>
        </w:rPr>
        <w:t xml:space="preserve"> </w:t>
      </w:r>
      <w:r>
        <w:t>је</w:t>
      </w:r>
      <w:r>
        <w:rPr>
          <w:spacing w:val="-9"/>
        </w:rPr>
        <w:t xml:space="preserve"> </w:t>
      </w:r>
      <w:r>
        <w:t>успоравање</w:t>
      </w:r>
      <w:r>
        <w:rPr>
          <w:spacing w:val="-14"/>
        </w:rPr>
        <w:t xml:space="preserve"> </w:t>
      </w:r>
      <w:r>
        <w:t>привредног</w:t>
      </w:r>
      <w:r>
        <w:rPr>
          <w:spacing w:val="-13"/>
        </w:rPr>
        <w:t xml:space="preserve"> </w:t>
      </w:r>
      <w:r>
        <w:t>раста</w:t>
      </w:r>
      <w:r>
        <w:rPr>
          <w:spacing w:val="-11"/>
        </w:rPr>
        <w:t xml:space="preserve"> </w:t>
      </w:r>
      <w:r>
        <w:t>на</w:t>
      </w:r>
      <w:r>
        <w:rPr>
          <w:spacing w:val="-14"/>
        </w:rPr>
        <w:t xml:space="preserve"> </w:t>
      </w:r>
      <w:r>
        <w:t>2,0%,</w:t>
      </w:r>
      <w:r>
        <w:rPr>
          <w:spacing w:val="-13"/>
        </w:rPr>
        <w:t xml:space="preserve"> </w:t>
      </w:r>
      <w:r>
        <w:t>првенствено услед домаће неизвесности и одложене потрошње. Ипак, снажне економске основе, омогућавају брз повратак на путању раста. Ревидирана пројекција привредног раста за 2025. годину износи 3,0%, са очекиваним убрзањем на 4,2% у 2026. и на 5,0% у 2027. години, захваљујући великим инфраструктурним пројектима повезаним са Специјализованом светском изложбом EXPO 2027. Влада Републике Србије наставља са реализацијом амбициозног програма јавних инвестиција у оквиру стратешког плана „Скок у будућност – EXPO Србија 2027”, који укључује модернизацију инфраструктуре, дигитализацију, обновљиве изворе енергије и иновативне технологије. Планирана улагања имају за циљ модернизацију</w:t>
      </w:r>
      <w:r>
        <w:rPr>
          <w:spacing w:val="-1"/>
        </w:rPr>
        <w:t xml:space="preserve"> </w:t>
      </w:r>
      <w:r>
        <w:t>земље, јачање конкурентности домаће привреде и привлачење нових страних и домаћих инвестиција.</w:t>
      </w:r>
    </w:p>
    <w:p w14:paraId="334C4B94">
      <w:pPr>
        <w:pStyle w:val="6"/>
        <w:spacing w:before="17" w:line="266" w:lineRule="auto"/>
        <w:ind w:left="14" w:right="294" w:firstLine="710"/>
      </w:pPr>
      <w:r>
        <w:t>Средњорочне перспективе привредног раста остају позитивне, са просечном годишњом стопом од око 4,2% за период од 2026. до 2028. године. Раст ће бити подржан стабилном домаћом тражњом, интензивном реализацијом инфраструктурних пројеката и даљим јачањем приватне потрошње и инвестиција. Посебан значај има ИКТ сектор, који бележи двоцифрене стопе раста извоза и све већи удео у БДП.</w:t>
      </w:r>
    </w:p>
    <w:p w14:paraId="763851DE">
      <w:pPr>
        <w:rPr>
          <w:rFonts w:hint="default"/>
          <w:b/>
          <w:lang w:val="sr-Cyrl-RS"/>
        </w:rPr>
      </w:pPr>
    </w:p>
    <w:p w14:paraId="2C1C467A">
      <w:pPr>
        <w:ind w:firstLine="720"/>
        <w:rPr>
          <w:b/>
        </w:rPr>
      </w:pPr>
    </w:p>
    <w:p w14:paraId="53C87D6D">
      <w:pPr>
        <w:ind w:firstLine="720"/>
      </w:pPr>
      <w:r>
        <w:rPr>
          <w:b/>
          <w:bCs/>
        </w:rPr>
        <w:t>Основне макроекономске претпоставке за  202</w:t>
      </w:r>
      <w:r>
        <w:rPr>
          <w:b/>
          <w:bCs/>
          <w:lang w:val="sr-Latn-RS"/>
        </w:rPr>
        <w:t>5</w:t>
      </w:r>
      <w:r>
        <w:rPr>
          <w:b/>
          <w:bCs/>
        </w:rPr>
        <w:t xml:space="preserve">. </w:t>
      </w:r>
      <w:r>
        <w:rPr>
          <w:rFonts w:hint="default"/>
          <w:b/>
          <w:bCs/>
          <w:lang w:val="sr-Cyrl-RS"/>
        </w:rPr>
        <w:t xml:space="preserve"> и 2026. </w:t>
      </w:r>
      <w:r>
        <w:rPr>
          <w:b/>
          <w:bCs/>
        </w:rPr>
        <w:t>годин</w:t>
      </w:r>
      <w:r>
        <w:rPr>
          <w:b/>
          <w:bCs/>
          <w:lang w:val="sr-Cyrl-RS"/>
        </w:rPr>
        <w:t>у</w:t>
      </w:r>
      <w:r>
        <w:rPr>
          <w:b/>
          <w:bCs/>
        </w:rPr>
        <w:t xml:space="preserve">  </w:t>
      </w:r>
    </w:p>
    <w:tbl>
      <w:tblPr>
        <w:tblStyle w:val="5"/>
        <w:tblW w:w="9496" w:type="dxa"/>
        <w:tblInd w:w="0" w:type="dxa"/>
        <w:tblLayout w:type="autofit"/>
        <w:tblCellMar>
          <w:top w:w="55" w:type="dxa"/>
          <w:left w:w="55" w:type="dxa"/>
          <w:bottom w:w="55" w:type="dxa"/>
          <w:right w:w="55" w:type="dxa"/>
        </w:tblCellMar>
      </w:tblPr>
      <w:tblGrid>
        <w:gridCol w:w="3165"/>
        <w:gridCol w:w="3165"/>
        <w:gridCol w:w="3166"/>
      </w:tblGrid>
      <w:tr w14:paraId="31A02CEC">
        <w:tblPrEx>
          <w:tblCellMar>
            <w:top w:w="55" w:type="dxa"/>
            <w:left w:w="55" w:type="dxa"/>
            <w:bottom w:w="55" w:type="dxa"/>
            <w:right w:w="55" w:type="dxa"/>
          </w:tblCellMar>
        </w:tblPrEx>
        <w:tc>
          <w:tcPr>
            <w:tcW w:w="3165" w:type="dxa"/>
            <w:tcBorders>
              <w:top w:val="single" w:color="000000" w:sz="2" w:space="0"/>
              <w:left w:val="single" w:color="000000" w:sz="2" w:space="0"/>
              <w:bottom w:val="single" w:color="000000" w:sz="2" w:space="0"/>
            </w:tcBorders>
          </w:tcPr>
          <w:p w14:paraId="4D80A6E6">
            <w:pPr>
              <w:pStyle w:val="22"/>
              <w:rPr>
                <w:sz w:val="18"/>
                <w:szCs w:val="18"/>
              </w:rPr>
            </w:pPr>
          </w:p>
        </w:tc>
        <w:tc>
          <w:tcPr>
            <w:tcW w:w="3165" w:type="dxa"/>
            <w:tcBorders>
              <w:top w:val="single" w:color="000000" w:sz="2" w:space="0"/>
              <w:left w:val="single" w:color="000000" w:sz="2" w:space="0"/>
              <w:bottom w:val="single" w:color="000000" w:sz="2" w:space="0"/>
            </w:tcBorders>
          </w:tcPr>
          <w:p w14:paraId="5B8F9966">
            <w:pPr>
              <w:pStyle w:val="22"/>
              <w:jc w:val="center"/>
              <w:rPr>
                <w:b/>
                <w:bCs/>
                <w:sz w:val="20"/>
                <w:szCs w:val="20"/>
              </w:rPr>
            </w:pPr>
            <w:r>
              <w:rPr>
                <w:b/>
                <w:bCs/>
                <w:sz w:val="18"/>
                <w:szCs w:val="18"/>
              </w:rPr>
              <w:t>202</w:t>
            </w:r>
            <w:r>
              <w:rPr>
                <w:rFonts w:hint="default"/>
                <w:b/>
                <w:bCs/>
                <w:sz w:val="18"/>
                <w:szCs w:val="18"/>
                <w:lang w:val="sr-Cyrl-RS"/>
              </w:rPr>
              <w:t>5</w:t>
            </w:r>
            <w:r>
              <w:rPr>
                <w:b/>
                <w:bCs/>
                <w:sz w:val="18"/>
                <w:szCs w:val="18"/>
              </w:rPr>
              <w:t>.</w:t>
            </w:r>
          </w:p>
        </w:tc>
        <w:tc>
          <w:tcPr>
            <w:tcW w:w="3166" w:type="dxa"/>
            <w:tcBorders>
              <w:top w:val="single" w:color="000000" w:sz="2" w:space="0"/>
              <w:left w:val="single" w:color="000000" w:sz="2" w:space="0"/>
              <w:bottom w:val="single" w:color="000000" w:sz="2" w:space="0"/>
              <w:right w:val="single" w:color="000000" w:sz="2" w:space="0"/>
            </w:tcBorders>
          </w:tcPr>
          <w:p w14:paraId="2EFCC1B6">
            <w:pPr>
              <w:pStyle w:val="22"/>
              <w:jc w:val="center"/>
              <w:rPr>
                <w:b/>
                <w:bCs/>
                <w:sz w:val="20"/>
                <w:szCs w:val="20"/>
              </w:rPr>
            </w:pPr>
            <w:r>
              <w:rPr>
                <w:b/>
                <w:bCs/>
                <w:sz w:val="18"/>
                <w:szCs w:val="18"/>
              </w:rPr>
              <w:t>202</w:t>
            </w:r>
            <w:r>
              <w:rPr>
                <w:rFonts w:hint="default"/>
                <w:b/>
                <w:bCs/>
                <w:sz w:val="18"/>
                <w:szCs w:val="18"/>
                <w:lang w:val="sr-Cyrl-RS"/>
              </w:rPr>
              <w:t>6</w:t>
            </w:r>
            <w:r>
              <w:rPr>
                <w:b/>
                <w:bCs/>
                <w:sz w:val="18"/>
                <w:szCs w:val="18"/>
              </w:rPr>
              <w:t>.</w:t>
            </w:r>
          </w:p>
        </w:tc>
      </w:tr>
      <w:tr w14:paraId="23589CC1">
        <w:tblPrEx>
          <w:tblCellMar>
            <w:top w:w="55" w:type="dxa"/>
            <w:left w:w="55" w:type="dxa"/>
            <w:bottom w:w="55" w:type="dxa"/>
            <w:right w:w="55" w:type="dxa"/>
          </w:tblCellMar>
        </w:tblPrEx>
        <w:tc>
          <w:tcPr>
            <w:tcW w:w="3165" w:type="dxa"/>
            <w:tcBorders>
              <w:left w:val="single" w:color="000000" w:sz="2" w:space="0"/>
              <w:bottom w:val="single" w:color="000000" w:sz="2" w:space="0"/>
            </w:tcBorders>
          </w:tcPr>
          <w:p w14:paraId="68E83059">
            <w:pPr>
              <w:pStyle w:val="22"/>
              <w:rPr>
                <w:sz w:val="18"/>
                <w:szCs w:val="18"/>
              </w:rPr>
            </w:pPr>
            <w:r>
              <w:rPr>
                <w:sz w:val="18"/>
                <w:szCs w:val="18"/>
              </w:rPr>
              <w:t>БДП, млрд РСД</w:t>
            </w:r>
          </w:p>
        </w:tc>
        <w:tc>
          <w:tcPr>
            <w:tcW w:w="3165" w:type="dxa"/>
            <w:tcBorders>
              <w:left w:val="single" w:color="000000" w:sz="2" w:space="0"/>
              <w:bottom w:val="single" w:color="000000" w:sz="2" w:space="0"/>
            </w:tcBorders>
          </w:tcPr>
          <w:p w14:paraId="2E93C5A3">
            <w:pPr>
              <w:pStyle w:val="22"/>
              <w:jc w:val="center"/>
              <w:rPr>
                <w:rFonts w:hint="default"/>
                <w:sz w:val="18"/>
                <w:szCs w:val="18"/>
                <w:lang w:val="sr-Cyrl-RS"/>
              </w:rPr>
            </w:pPr>
            <w:r>
              <w:rPr>
                <w:rFonts w:hint="default"/>
                <w:sz w:val="18"/>
                <w:szCs w:val="18"/>
                <w:lang w:val="sr-Cyrl-RS"/>
              </w:rPr>
              <w:t>10.329,2</w:t>
            </w:r>
          </w:p>
        </w:tc>
        <w:tc>
          <w:tcPr>
            <w:tcW w:w="3166" w:type="dxa"/>
            <w:tcBorders>
              <w:left w:val="single" w:color="000000" w:sz="2" w:space="0"/>
              <w:bottom w:val="single" w:color="000000" w:sz="2" w:space="0"/>
              <w:right w:val="single" w:color="000000" w:sz="2" w:space="0"/>
            </w:tcBorders>
          </w:tcPr>
          <w:p w14:paraId="7611C8FE">
            <w:pPr>
              <w:pStyle w:val="22"/>
              <w:jc w:val="center"/>
              <w:rPr>
                <w:rFonts w:hint="default"/>
                <w:sz w:val="18"/>
                <w:szCs w:val="18"/>
                <w:lang w:val="sr-Cyrl-RS"/>
              </w:rPr>
            </w:pPr>
            <w:r>
              <w:rPr>
                <w:rFonts w:hint="default"/>
                <w:sz w:val="18"/>
                <w:szCs w:val="18"/>
                <w:lang w:val="sr-Cyrl-RS"/>
              </w:rPr>
              <w:t>11.096,4</w:t>
            </w:r>
          </w:p>
        </w:tc>
      </w:tr>
      <w:tr w14:paraId="591109F9">
        <w:tblPrEx>
          <w:tblCellMar>
            <w:top w:w="55" w:type="dxa"/>
            <w:left w:w="55" w:type="dxa"/>
            <w:bottom w:w="55" w:type="dxa"/>
            <w:right w:w="55" w:type="dxa"/>
          </w:tblCellMar>
        </w:tblPrEx>
        <w:tc>
          <w:tcPr>
            <w:tcW w:w="3165" w:type="dxa"/>
            <w:tcBorders>
              <w:left w:val="single" w:color="000000" w:sz="2" w:space="0"/>
              <w:bottom w:val="single" w:color="000000" w:sz="2" w:space="0"/>
            </w:tcBorders>
          </w:tcPr>
          <w:p w14:paraId="198261EC">
            <w:pPr>
              <w:pStyle w:val="22"/>
              <w:rPr>
                <w:sz w:val="18"/>
                <w:szCs w:val="18"/>
              </w:rPr>
            </w:pPr>
            <w:r>
              <w:rPr>
                <w:sz w:val="18"/>
                <w:szCs w:val="18"/>
              </w:rPr>
              <w:t>Стопа номиналног раста БДП, %</w:t>
            </w:r>
          </w:p>
        </w:tc>
        <w:tc>
          <w:tcPr>
            <w:tcW w:w="3165" w:type="dxa"/>
            <w:tcBorders>
              <w:left w:val="single" w:color="000000" w:sz="2" w:space="0"/>
              <w:bottom w:val="single" w:color="000000" w:sz="2" w:space="0"/>
            </w:tcBorders>
          </w:tcPr>
          <w:p w14:paraId="39F34AFD">
            <w:pPr>
              <w:pStyle w:val="22"/>
              <w:jc w:val="center"/>
              <w:rPr>
                <w:rFonts w:hint="default"/>
                <w:sz w:val="18"/>
                <w:szCs w:val="18"/>
                <w:lang w:val="sr-Cyrl-RS"/>
              </w:rPr>
            </w:pPr>
            <w:r>
              <w:rPr>
                <w:rFonts w:hint="default"/>
                <w:sz w:val="18"/>
                <w:szCs w:val="18"/>
                <w:lang w:val="sr-Cyrl-RS"/>
              </w:rPr>
              <w:t>7,2</w:t>
            </w:r>
          </w:p>
        </w:tc>
        <w:tc>
          <w:tcPr>
            <w:tcW w:w="3166" w:type="dxa"/>
            <w:tcBorders>
              <w:left w:val="single" w:color="000000" w:sz="2" w:space="0"/>
              <w:bottom w:val="single" w:color="000000" w:sz="2" w:space="0"/>
              <w:right w:val="single" w:color="000000" w:sz="2" w:space="0"/>
            </w:tcBorders>
          </w:tcPr>
          <w:p w14:paraId="4590A4DA">
            <w:pPr>
              <w:pStyle w:val="22"/>
              <w:jc w:val="center"/>
              <w:rPr>
                <w:rFonts w:hint="default"/>
                <w:sz w:val="18"/>
                <w:szCs w:val="18"/>
                <w:lang w:val="sr-Cyrl-RS"/>
              </w:rPr>
            </w:pPr>
            <w:r>
              <w:rPr>
                <w:rFonts w:hint="default"/>
                <w:sz w:val="18"/>
                <w:szCs w:val="18"/>
                <w:lang w:val="sr-Cyrl-RS"/>
              </w:rPr>
              <w:t>7,4</w:t>
            </w:r>
          </w:p>
        </w:tc>
      </w:tr>
      <w:tr w14:paraId="01B344E2">
        <w:tblPrEx>
          <w:tblCellMar>
            <w:top w:w="55" w:type="dxa"/>
            <w:left w:w="55" w:type="dxa"/>
            <w:bottom w:w="55" w:type="dxa"/>
            <w:right w:w="55" w:type="dxa"/>
          </w:tblCellMar>
        </w:tblPrEx>
        <w:tc>
          <w:tcPr>
            <w:tcW w:w="3165" w:type="dxa"/>
            <w:tcBorders>
              <w:left w:val="single" w:color="000000" w:sz="2" w:space="0"/>
              <w:bottom w:val="single" w:color="000000" w:sz="2" w:space="0"/>
            </w:tcBorders>
          </w:tcPr>
          <w:p w14:paraId="7DB879EF">
            <w:pPr>
              <w:pStyle w:val="22"/>
              <w:rPr>
                <w:sz w:val="18"/>
                <w:szCs w:val="18"/>
              </w:rPr>
            </w:pPr>
            <w:r>
              <w:rPr>
                <w:sz w:val="18"/>
                <w:szCs w:val="18"/>
              </w:rPr>
              <w:t>Стопе реалног раста БДП, %</w:t>
            </w:r>
          </w:p>
        </w:tc>
        <w:tc>
          <w:tcPr>
            <w:tcW w:w="3165" w:type="dxa"/>
            <w:tcBorders>
              <w:left w:val="single" w:color="000000" w:sz="2" w:space="0"/>
              <w:bottom w:val="single" w:color="000000" w:sz="2" w:space="0"/>
            </w:tcBorders>
          </w:tcPr>
          <w:p w14:paraId="292AB5EB">
            <w:pPr>
              <w:pStyle w:val="22"/>
              <w:jc w:val="center"/>
              <w:rPr>
                <w:rFonts w:hint="default"/>
                <w:sz w:val="18"/>
                <w:szCs w:val="18"/>
                <w:lang w:val="sr-Cyrl-RS"/>
              </w:rPr>
            </w:pPr>
            <w:r>
              <w:rPr>
                <w:sz w:val="18"/>
                <w:szCs w:val="18"/>
              </w:rPr>
              <w:t>3,</w:t>
            </w:r>
            <w:r>
              <w:rPr>
                <w:rFonts w:hint="default"/>
                <w:sz w:val="18"/>
                <w:szCs w:val="18"/>
                <w:lang w:val="sr-Cyrl-RS"/>
              </w:rPr>
              <w:t>0</w:t>
            </w:r>
          </w:p>
        </w:tc>
        <w:tc>
          <w:tcPr>
            <w:tcW w:w="3166" w:type="dxa"/>
            <w:tcBorders>
              <w:left w:val="single" w:color="000000" w:sz="2" w:space="0"/>
              <w:bottom w:val="single" w:color="000000" w:sz="2" w:space="0"/>
              <w:right w:val="single" w:color="000000" w:sz="2" w:space="0"/>
            </w:tcBorders>
          </w:tcPr>
          <w:p w14:paraId="6691C805">
            <w:pPr>
              <w:pStyle w:val="22"/>
              <w:jc w:val="center"/>
              <w:rPr>
                <w:sz w:val="18"/>
                <w:szCs w:val="18"/>
              </w:rPr>
            </w:pPr>
            <w:r>
              <w:rPr>
                <w:sz w:val="18"/>
                <w:szCs w:val="18"/>
              </w:rPr>
              <w:t>4,2</w:t>
            </w:r>
          </w:p>
        </w:tc>
      </w:tr>
      <w:tr w14:paraId="0C8E2605">
        <w:tblPrEx>
          <w:tblCellMar>
            <w:top w:w="55" w:type="dxa"/>
            <w:left w:w="55" w:type="dxa"/>
            <w:bottom w:w="55" w:type="dxa"/>
            <w:right w:w="55" w:type="dxa"/>
          </w:tblCellMar>
        </w:tblPrEx>
        <w:tc>
          <w:tcPr>
            <w:tcW w:w="3165" w:type="dxa"/>
            <w:tcBorders>
              <w:left w:val="single" w:color="000000" w:sz="2" w:space="0"/>
              <w:bottom w:val="single" w:color="000000" w:sz="2" w:space="0"/>
            </w:tcBorders>
          </w:tcPr>
          <w:p w14:paraId="55663624">
            <w:pPr>
              <w:pStyle w:val="22"/>
              <w:rPr>
                <w:sz w:val="18"/>
                <w:szCs w:val="18"/>
              </w:rPr>
            </w:pPr>
            <w:r>
              <w:rPr>
                <w:sz w:val="18"/>
                <w:szCs w:val="18"/>
                <w:lang w:val="sr-Cyrl-RS"/>
              </w:rPr>
              <w:t>Потрошачке</w:t>
            </w:r>
            <w:r>
              <w:rPr>
                <w:rFonts w:hint="default"/>
                <w:sz w:val="18"/>
                <w:szCs w:val="18"/>
                <w:lang w:val="sr-Cyrl-RS"/>
              </w:rPr>
              <w:t xml:space="preserve"> цене (годишњи просек)</w:t>
            </w:r>
            <w:r>
              <w:rPr>
                <w:sz w:val="18"/>
                <w:szCs w:val="18"/>
              </w:rPr>
              <w:t>, %</w:t>
            </w:r>
          </w:p>
        </w:tc>
        <w:tc>
          <w:tcPr>
            <w:tcW w:w="3165" w:type="dxa"/>
            <w:tcBorders>
              <w:left w:val="single" w:color="000000" w:sz="2" w:space="0"/>
              <w:bottom w:val="single" w:color="000000" w:sz="2" w:space="0"/>
            </w:tcBorders>
          </w:tcPr>
          <w:p w14:paraId="4D37EB15">
            <w:pPr>
              <w:pStyle w:val="22"/>
              <w:jc w:val="center"/>
              <w:rPr>
                <w:rFonts w:hint="default"/>
                <w:sz w:val="18"/>
                <w:szCs w:val="18"/>
                <w:lang w:val="sr-Cyrl-RS"/>
              </w:rPr>
            </w:pPr>
            <w:r>
              <w:rPr>
                <w:sz w:val="18"/>
                <w:szCs w:val="18"/>
              </w:rPr>
              <w:t>4,</w:t>
            </w:r>
            <w:r>
              <w:rPr>
                <w:rFonts w:hint="default"/>
                <w:sz w:val="18"/>
                <w:szCs w:val="18"/>
                <w:lang w:val="sr-Cyrl-RS"/>
              </w:rPr>
              <w:t>0</w:t>
            </w:r>
          </w:p>
        </w:tc>
        <w:tc>
          <w:tcPr>
            <w:tcW w:w="3166" w:type="dxa"/>
            <w:tcBorders>
              <w:left w:val="single" w:color="000000" w:sz="2" w:space="0"/>
              <w:bottom w:val="single" w:color="000000" w:sz="2" w:space="0"/>
              <w:right w:val="single" w:color="000000" w:sz="2" w:space="0"/>
            </w:tcBorders>
          </w:tcPr>
          <w:p w14:paraId="7542539A">
            <w:pPr>
              <w:pStyle w:val="22"/>
              <w:jc w:val="center"/>
              <w:rPr>
                <w:sz w:val="18"/>
                <w:szCs w:val="18"/>
              </w:rPr>
            </w:pPr>
            <w:r>
              <w:rPr>
                <w:sz w:val="18"/>
                <w:szCs w:val="18"/>
              </w:rPr>
              <w:t>3,5</w:t>
            </w:r>
          </w:p>
        </w:tc>
      </w:tr>
    </w:tbl>
    <w:p w14:paraId="44555705"/>
    <w:p w14:paraId="45C95814">
      <w:pPr>
        <w:pStyle w:val="6"/>
        <w:spacing w:before="66" w:line="266" w:lineRule="auto"/>
        <w:ind w:left="28" w:right="292" w:firstLine="710"/>
      </w:pPr>
      <w:r>
        <w:t>Фискална дисциплина остаје темељни принцип економске политике, уз пажљиво планирани</w:t>
      </w:r>
      <w:r>
        <w:rPr>
          <w:spacing w:val="-3"/>
        </w:rPr>
        <w:t xml:space="preserve"> </w:t>
      </w:r>
      <w:r>
        <w:t>буџетски</w:t>
      </w:r>
      <w:r>
        <w:rPr>
          <w:spacing w:val="-2"/>
        </w:rPr>
        <w:t xml:space="preserve"> </w:t>
      </w:r>
      <w:r>
        <w:t>дефицит</w:t>
      </w:r>
      <w:r>
        <w:rPr>
          <w:spacing w:val="-3"/>
        </w:rPr>
        <w:t xml:space="preserve"> </w:t>
      </w:r>
      <w:r>
        <w:t>од</w:t>
      </w:r>
      <w:r>
        <w:rPr>
          <w:spacing w:val="-3"/>
        </w:rPr>
        <w:t xml:space="preserve"> </w:t>
      </w:r>
      <w:r>
        <w:t>око</w:t>
      </w:r>
      <w:r>
        <w:rPr>
          <w:spacing w:val="-3"/>
        </w:rPr>
        <w:t xml:space="preserve"> </w:t>
      </w:r>
      <w:r>
        <w:t>3,0%</w:t>
      </w:r>
      <w:r>
        <w:rPr>
          <w:spacing w:val="-4"/>
        </w:rPr>
        <w:t xml:space="preserve"> </w:t>
      </w:r>
      <w:r>
        <w:t>БДП</w:t>
      </w:r>
      <w:r>
        <w:rPr>
          <w:spacing w:val="-4"/>
        </w:rPr>
        <w:t xml:space="preserve"> </w:t>
      </w:r>
      <w:r>
        <w:t>током</w:t>
      </w:r>
      <w:r>
        <w:rPr>
          <w:spacing w:val="-4"/>
        </w:rPr>
        <w:t xml:space="preserve"> </w:t>
      </w:r>
      <w:r>
        <w:t>инвестиционог</w:t>
      </w:r>
      <w:r>
        <w:rPr>
          <w:spacing w:val="-6"/>
        </w:rPr>
        <w:t xml:space="preserve"> </w:t>
      </w:r>
      <w:r>
        <w:t>циклуса,</w:t>
      </w:r>
      <w:r>
        <w:rPr>
          <w:spacing w:val="-1"/>
        </w:rPr>
        <w:t xml:space="preserve"> </w:t>
      </w:r>
      <w:r>
        <w:t>са</w:t>
      </w:r>
      <w:r>
        <w:rPr>
          <w:spacing w:val="-4"/>
        </w:rPr>
        <w:t xml:space="preserve"> </w:t>
      </w:r>
      <w:r>
        <w:t>постепеним смањењем на 2,5% БДП-а до 2028. године. Овакав оквир обезбеђује континуирано смањење удела</w:t>
      </w:r>
      <w:r>
        <w:rPr>
          <w:spacing w:val="-3"/>
        </w:rPr>
        <w:t xml:space="preserve"> </w:t>
      </w:r>
      <w:r>
        <w:t>јавног</w:t>
      </w:r>
      <w:r>
        <w:rPr>
          <w:spacing w:val="-3"/>
        </w:rPr>
        <w:t xml:space="preserve"> </w:t>
      </w:r>
      <w:r>
        <w:t>дуга у</w:t>
      </w:r>
      <w:r>
        <w:rPr>
          <w:spacing w:val="-7"/>
        </w:rPr>
        <w:t xml:space="preserve"> </w:t>
      </w:r>
      <w:r>
        <w:t>БДП-у,</w:t>
      </w:r>
      <w:r>
        <w:rPr>
          <w:spacing w:val="-2"/>
        </w:rPr>
        <w:t xml:space="preserve"> </w:t>
      </w:r>
      <w:r>
        <w:t>који</w:t>
      </w:r>
      <w:r>
        <w:rPr>
          <w:spacing w:val="-1"/>
        </w:rPr>
        <w:t xml:space="preserve"> </w:t>
      </w:r>
      <w:r>
        <w:t>ће</w:t>
      </w:r>
      <w:r>
        <w:rPr>
          <w:spacing w:val="-3"/>
        </w:rPr>
        <w:t xml:space="preserve"> </w:t>
      </w:r>
      <w:r>
        <w:t>се, према</w:t>
      </w:r>
      <w:r>
        <w:rPr>
          <w:spacing w:val="-1"/>
        </w:rPr>
        <w:t xml:space="preserve"> </w:t>
      </w:r>
      <w:r>
        <w:t>тренутним</w:t>
      </w:r>
      <w:r>
        <w:rPr>
          <w:spacing w:val="-3"/>
        </w:rPr>
        <w:t xml:space="preserve"> </w:t>
      </w:r>
      <w:r>
        <w:t>проценама,</w:t>
      </w:r>
      <w:r>
        <w:rPr>
          <w:spacing w:val="-2"/>
        </w:rPr>
        <w:t xml:space="preserve"> </w:t>
      </w:r>
      <w:r>
        <w:t>спустити</w:t>
      </w:r>
      <w:r>
        <w:rPr>
          <w:spacing w:val="-1"/>
        </w:rPr>
        <w:t xml:space="preserve"> </w:t>
      </w:r>
      <w:r>
        <w:t>на</w:t>
      </w:r>
      <w:r>
        <w:rPr>
          <w:spacing w:val="-3"/>
        </w:rPr>
        <w:t xml:space="preserve"> </w:t>
      </w:r>
      <w:r>
        <w:t>око</w:t>
      </w:r>
      <w:r>
        <w:rPr>
          <w:spacing w:val="-2"/>
        </w:rPr>
        <w:t xml:space="preserve"> </w:t>
      </w:r>
      <w:r>
        <w:t>46,2%</w:t>
      </w:r>
      <w:r>
        <w:rPr>
          <w:spacing w:val="-3"/>
        </w:rPr>
        <w:t xml:space="preserve"> </w:t>
      </w:r>
      <w:r>
        <w:t>до краја средњорочног периода. Истовремено, јавне инвестиције остају приоритет и биће задржане на високом нивоу од око 7,0% БДП-а, уз даље јачање механизама контроле и унапређење транспарентности у управљању капиталним пројектима.</w:t>
      </w:r>
    </w:p>
    <w:p w14:paraId="29E71203"/>
    <w:p w14:paraId="24031238">
      <w:pPr>
        <w:ind w:firstLine="720"/>
        <w:jc w:val="both"/>
      </w:pPr>
      <w:r>
        <w:rPr>
          <w:b/>
          <w:bCs/>
        </w:rPr>
        <w:t>Приликом планирања прихода локална власт је у обавези да исте реално планира</w:t>
      </w:r>
      <w:r>
        <w:t xml:space="preserve"> , тј. потребно је поћи од остварења прихода за три квартала у 202</w:t>
      </w:r>
      <w:r>
        <w:rPr>
          <w:rFonts w:hint="default"/>
          <w:lang w:val="sr-Cyrl-RS"/>
        </w:rPr>
        <w:t>5</w:t>
      </w:r>
      <w:r>
        <w:t xml:space="preserve">. години и </w:t>
      </w:r>
      <w:r>
        <w:rPr>
          <w:lang w:val="sr-Cyrl-RS"/>
        </w:rPr>
        <w:t>остварења</w:t>
      </w:r>
      <w:r>
        <w:rPr>
          <w:rFonts w:hint="default"/>
          <w:lang w:val="sr-Cyrl-RS"/>
        </w:rPr>
        <w:t xml:space="preserve"> прихода  у четвртом</w:t>
      </w:r>
      <w:r>
        <w:t xml:space="preserve"> квартал</w:t>
      </w:r>
      <w:r>
        <w:rPr>
          <w:lang w:val="sr-Cyrl-RS"/>
        </w:rPr>
        <w:t>у</w:t>
      </w:r>
      <w:r>
        <w:rPr>
          <w:rFonts w:hint="default"/>
          <w:lang w:val="sr-Cyrl-RS"/>
        </w:rPr>
        <w:t xml:space="preserve"> који је увећан за 7,5%</w:t>
      </w:r>
      <w:r>
        <w:rPr>
          <w:rFonts w:hint="default"/>
          <w:lang w:val="sr-Latn-RS"/>
        </w:rPr>
        <w:t xml:space="preserve">. </w:t>
      </w:r>
      <w:r>
        <w:rPr>
          <w:rFonts w:hint="default"/>
          <w:lang w:val="sr-Cyrl-RS"/>
        </w:rPr>
        <w:t>Тако утврђен износ</w:t>
      </w:r>
      <w:r>
        <w:t xml:space="preserve"> представља основ за њихово увећање, при чему укупан раст  не сме да буде већи од номиналног раста БДП (пројектован номинални раст у 202</w:t>
      </w:r>
      <w:r>
        <w:rPr>
          <w:rFonts w:hint="default"/>
          <w:lang w:val="sr-Cyrl-RS"/>
        </w:rPr>
        <w:t>6</w:t>
      </w:r>
      <w:r>
        <w:t>. години од 7,</w:t>
      </w:r>
      <w:r>
        <w:rPr>
          <w:rFonts w:hint="default"/>
          <w:lang w:val="sr-Cyrl-RS"/>
        </w:rPr>
        <w:t>4</w:t>
      </w:r>
      <w:r>
        <w:t xml:space="preserve">%). </w:t>
      </w:r>
    </w:p>
    <w:p w14:paraId="7B9814D1">
      <w:pPr>
        <w:ind w:firstLine="720"/>
        <w:jc w:val="both"/>
        <w:rPr>
          <w:rFonts w:hint="default"/>
          <w:lang w:val="sr-Cyrl-RS"/>
        </w:rPr>
      </w:pPr>
      <w:r>
        <w:rPr>
          <w:lang w:val="sr-Cyrl-RS"/>
        </w:rPr>
        <w:t>Приликом</w:t>
      </w:r>
      <w:r>
        <w:rPr>
          <w:rFonts w:hint="default"/>
          <w:lang w:val="sr-Cyrl-RS"/>
        </w:rPr>
        <w:t xml:space="preserve"> планирања текућих прихода потребно је узети у обзир приходе из свих извора финансирања, осим извора 07- трансфери од других нивоа власти.</w:t>
      </w:r>
    </w:p>
    <w:p w14:paraId="5AEA48AF">
      <w:pPr>
        <w:ind w:firstLine="720"/>
        <w:jc w:val="both"/>
        <w:rPr>
          <w:rFonts w:hint="default"/>
          <w:lang w:val="sr-Cyrl-RS"/>
        </w:rPr>
      </w:pPr>
      <w:r>
        <w:rPr>
          <w:rFonts w:hint="default"/>
          <w:lang w:val="sr-Cyrl-RS"/>
        </w:rPr>
        <w:t>Апропријације прихода и примања, расхода и издатака , расхода и издатака из извора 07- рансфери од других нивоа власти, 08- добровољни трансфери од физичких и правних лица и 09- примања од продаје нефинансијске имовине могу се планирати само уколико јединица локалне самоуправе поседује уговор или други одговарајући акт из чије се садржине на несумњив начин може утврдити да ће средства по овом основу бити остварена у 2026. години.</w:t>
      </w:r>
    </w:p>
    <w:p w14:paraId="36144DCD">
      <w:pPr>
        <w:ind w:firstLine="720"/>
        <w:jc w:val="both"/>
        <w:rPr>
          <w:rFonts w:hint="default"/>
          <w:lang w:val="sr-Cyrl-RS"/>
        </w:rPr>
      </w:pPr>
      <w:r>
        <w:rPr>
          <w:rFonts w:hint="default"/>
          <w:lang w:val="sr-Cyrl-RS"/>
        </w:rPr>
        <w:t>Јединице локалне самоуправе</w:t>
      </w:r>
      <w:r>
        <w:rPr>
          <w:rFonts w:hint="default"/>
          <w:lang w:val="sr-Latn-RS"/>
        </w:rPr>
        <w:t xml:space="preserve"> </w:t>
      </w:r>
      <w:r>
        <w:rPr>
          <w:rFonts w:hint="default"/>
          <w:lang w:val="sr-Cyrl-RS"/>
        </w:rPr>
        <w:t>које на основу остварења прихода у току 2026. године, утврде да ће укупно планирани износ текућих прихода (клаа 7) прећи лимит дозвољеног увећања за 2026. годину (7,4%), моћи ће да изврше корекцију истог (у поступку ребаланса или подизањем приходне апропријације на основу члана 5. ст.4-5 ЗОБС) уз предходно прибављену сагласност Министарства финансија.</w:t>
      </w:r>
    </w:p>
    <w:p w14:paraId="07B2240E">
      <w:pPr>
        <w:ind w:firstLine="720"/>
        <w:jc w:val="both"/>
      </w:pPr>
      <w:r>
        <w:t xml:space="preserve">Уколико локална власт очекује приходе по основу донација, апропријације прихода и расхода (извор финасирања 05 и 06) може планирати </w:t>
      </w:r>
      <w:r>
        <w:rPr>
          <w:lang w:val="sr-Cyrl-RS"/>
        </w:rPr>
        <w:t>искључиво</w:t>
      </w:r>
      <w:r>
        <w:rPr>
          <w:rFonts w:hint="default"/>
          <w:lang w:val="sr-Cyrl-RS"/>
        </w:rPr>
        <w:t xml:space="preserve"> уколико у  вези истих поседује закључен уговор/споразум из чије се садржине на несумњив начин може утврдити да ће средства по овом основу бити остварена у 2026.години.</w:t>
      </w:r>
    </w:p>
    <w:p w14:paraId="00907217">
      <w:pPr>
        <w:ind w:firstLine="720"/>
        <w:rPr>
          <w:rFonts w:hint="default"/>
          <w:lang w:val="sr-Cyrl-RS"/>
        </w:rPr>
      </w:pPr>
      <w:r>
        <w:t>Ненаменске трансфере ЈЛС треба да планирају у истом износу који је био опредељен Законом о буџету Републике Србије за 202</w:t>
      </w:r>
      <w:r>
        <w:rPr>
          <w:rFonts w:hint="default"/>
          <w:lang w:val="sr-Cyrl-RS"/>
        </w:rPr>
        <w:t>5</w:t>
      </w:r>
      <w:r>
        <w:t>. годину („Сл. Гласник РС“, бр. 92/23).</w:t>
      </w:r>
      <w:r>
        <w:rPr>
          <w:rFonts w:hint="default"/>
          <w:lang w:val="sr-Cyrl-RS"/>
        </w:rPr>
        <w:t xml:space="preserve"> Примања од продаје нефинасијске имовине јединице локалне самоуправе треба да планирају само ако је извесно да ће иста бити остврена у току 2026.године, односно уколико јединица локалне самоуправе у вези остварења истих поседује закључен уговор или други одговарајући акт  у које је утврђено да је  рок остварења истих у 2026.години.</w:t>
      </w:r>
    </w:p>
    <w:p w14:paraId="1047C2F1">
      <w:pPr>
        <w:ind w:firstLine="720"/>
      </w:pPr>
      <w:r>
        <w:t>У складу са чланом 5. Закона о буџетском систему приходи и примања се исказују у укупно оствареним износима, а расходи и издаци у укупно извршеним износима. Правилником о условима и  начину вођења рачуна за уплату јавних прихода и распоред средстава са тих рачуна прописани су рачуни за уплату јавних прихода тако да сви јавни приходи и примања којима се финансирају надлежности локалне власти треба да буду уплаћени на рачуне прописане за уплату јавних прихода, чиме би се испоштовало уставно начело бруто принципа, а не на подрачуне корисника буџетских средстава.</w:t>
      </w:r>
    </w:p>
    <w:p w14:paraId="0E3E4684">
      <w:pPr>
        <w:numPr>
          <w:ilvl w:val="0"/>
          <w:numId w:val="1"/>
        </w:numPr>
        <w:ind w:left="0" w:leftChars="0" w:firstLine="720" w:firstLineChars="0"/>
        <w:jc w:val="both"/>
        <w:rPr>
          <w:b/>
          <w:bCs/>
          <w:lang w:val="sr-Cyrl-RS"/>
        </w:rPr>
      </w:pPr>
      <w:r>
        <w:rPr>
          <w:b/>
          <w:bCs/>
          <w:lang w:val="sr-Cyrl-RS"/>
        </w:rPr>
        <w:t>Доношење одлуке о локалним комуналним таксама за 202</w:t>
      </w:r>
      <w:r>
        <w:rPr>
          <w:rFonts w:hint="default"/>
          <w:b/>
          <w:bCs/>
          <w:lang w:val="sr-Cyrl-RS"/>
        </w:rPr>
        <w:t>6</w:t>
      </w:r>
      <w:r>
        <w:rPr>
          <w:b/>
          <w:bCs/>
          <w:lang w:val="sr-Cyrl-RS"/>
        </w:rPr>
        <w:t>. годину</w:t>
      </w:r>
    </w:p>
    <w:p w14:paraId="6D89608C">
      <w:pPr>
        <w:spacing w:after="0" w:line="240" w:lineRule="auto"/>
        <w:ind w:firstLine="720"/>
        <w:jc w:val="both"/>
        <w:rPr>
          <w:lang w:val="sr-Cyrl-RS"/>
        </w:rPr>
      </w:pPr>
      <w:r>
        <w:rPr>
          <w:lang w:val="sr-Cyrl-RS"/>
        </w:rPr>
        <w:t>Чланом 7. Закона о финансирању локалне самоуоправе („Сл. гласник РС“, бр. 62/06, 47/11, 93/12, 99/13, 125/14, 83/16, 91/16, 104/16, 96/17, 89/18, 95/18, 86/19,126/20 и 111/21 ) прописано је да начин и мерила за одређивање висине локалних такси и накнада одређује скупштина јединице локалне самоуправе својом одлуком, у складу са законом, као и да се доноси након одржавања јавне расправе, а може се мењати највише једанпут годишње, и то у поступку утврђивања буџета јединице локалне самоуправе за наредну годину.</w:t>
      </w:r>
    </w:p>
    <w:p w14:paraId="06533816">
      <w:pPr>
        <w:pStyle w:val="6"/>
        <w:spacing w:before="14" w:line="266" w:lineRule="auto"/>
        <w:ind w:left="14" w:right="290" w:firstLine="710"/>
        <w:rPr>
          <w:lang w:val="sr-Cyrl-RS"/>
        </w:rPr>
      </w:pPr>
      <w:r>
        <w:t>С тим у вези када је у питању подношење захтева за добијање сагласности за утврђивање</w:t>
      </w:r>
      <w:r>
        <w:rPr>
          <w:spacing w:val="-12"/>
        </w:rPr>
        <w:t xml:space="preserve"> </w:t>
      </w:r>
      <w:r>
        <w:t>локалне</w:t>
      </w:r>
      <w:r>
        <w:rPr>
          <w:spacing w:val="-12"/>
        </w:rPr>
        <w:t xml:space="preserve"> </w:t>
      </w:r>
      <w:r>
        <w:t>комуналне</w:t>
      </w:r>
      <w:r>
        <w:rPr>
          <w:spacing w:val="-12"/>
        </w:rPr>
        <w:t xml:space="preserve"> </w:t>
      </w:r>
      <w:r>
        <w:t>таксе</w:t>
      </w:r>
      <w:r>
        <w:rPr>
          <w:spacing w:val="-12"/>
        </w:rPr>
        <w:t xml:space="preserve"> </w:t>
      </w:r>
      <w:r>
        <w:t>за</w:t>
      </w:r>
      <w:r>
        <w:rPr>
          <w:spacing w:val="-12"/>
        </w:rPr>
        <w:t xml:space="preserve"> </w:t>
      </w:r>
      <w:r>
        <w:t>истицање</w:t>
      </w:r>
      <w:r>
        <w:rPr>
          <w:spacing w:val="-12"/>
        </w:rPr>
        <w:t xml:space="preserve"> </w:t>
      </w:r>
      <w:r>
        <w:t>фирме</w:t>
      </w:r>
      <w:r>
        <w:rPr>
          <w:spacing w:val="-12"/>
        </w:rPr>
        <w:t xml:space="preserve"> </w:t>
      </w:r>
      <w:r>
        <w:t>на</w:t>
      </w:r>
      <w:r>
        <w:rPr>
          <w:spacing w:val="-12"/>
        </w:rPr>
        <w:t xml:space="preserve"> </w:t>
      </w:r>
      <w:r>
        <w:t>пословном</w:t>
      </w:r>
      <w:r>
        <w:rPr>
          <w:spacing w:val="-11"/>
        </w:rPr>
        <w:t xml:space="preserve"> </w:t>
      </w:r>
      <w:r>
        <w:t>простору</w:t>
      </w:r>
      <w:r>
        <w:rPr>
          <w:spacing w:val="-14"/>
        </w:rPr>
        <w:t xml:space="preserve"> </w:t>
      </w:r>
      <w:r>
        <w:t>(фирмарина) у</w:t>
      </w:r>
      <w:r>
        <w:rPr>
          <w:spacing w:val="-15"/>
        </w:rPr>
        <w:t xml:space="preserve"> </w:t>
      </w:r>
      <w:r>
        <w:t>износу</w:t>
      </w:r>
      <w:r>
        <w:rPr>
          <w:spacing w:val="-15"/>
        </w:rPr>
        <w:t xml:space="preserve"> </w:t>
      </w:r>
      <w:r>
        <w:t>већем</w:t>
      </w:r>
      <w:r>
        <w:rPr>
          <w:spacing w:val="-15"/>
        </w:rPr>
        <w:t xml:space="preserve"> </w:t>
      </w:r>
      <w:r>
        <w:t>од</w:t>
      </w:r>
      <w:r>
        <w:rPr>
          <w:spacing w:val="-15"/>
        </w:rPr>
        <w:t xml:space="preserve"> </w:t>
      </w:r>
      <w:r>
        <w:t>оног</w:t>
      </w:r>
      <w:r>
        <w:rPr>
          <w:spacing w:val="-15"/>
        </w:rPr>
        <w:t xml:space="preserve"> </w:t>
      </w:r>
      <w:r>
        <w:t>који</w:t>
      </w:r>
      <w:r>
        <w:rPr>
          <w:spacing w:val="-15"/>
        </w:rPr>
        <w:t xml:space="preserve"> </w:t>
      </w:r>
      <w:r>
        <w:t>је</w:t>
      </w:r>
      <w:r>
        <w:rPr>
          <w:spacing w:val="-14"/>
        </w:rPr>
        <w:t xml:space="preserve"> </w:t>
      </w:r>
      <w:r>
        <w:t>прописан</w:t>
      </w:r>
      <w:r>
        <w:rPr>
          <w:spacing w:val="-14"/>
        </w:rPr>
        <w:t xml:space="preserve"> </w:t>
      </w:r>
      <w:r>
        <w:t>чланом</w:t>
      </w:r>
      <w:r>
        <w:rPr>
          <w:spacing w:val="-15"/>
        </w:rPr>
        <w:t xml:space="preserve"> </w:t>
      </w:r>
      <w:r>
        <w:t>15а</w:t>
      </w:r>
      <w:r>
        <w:rPr>
          <w:spacing w:val="-15"/>
        </w:rPr>
        <w:t xml:space="preserve"> </w:t>
      </w:r>
      <w:r>
        <w:t>Закона</w:t>
      </w:r>
      <w:r>
        <w:rPr>
          <w:spacing w:val="-10"/>
        </w:rPr>
        <w:t xml:space="preserve"> </w:t>
      </w:r>
      <w:r>
        <w:t>о</w:t>
      </w:r>
      <w:r>
        <w:rPr>
          <w:spacing w:val="-14"/>
        </w:rPr>
        <w:t xml:space="preserve"> </w:t>
      </w:r>
      <w:r>
        <w:t>финасирању</w:t>
      </w:r>
      <w:r>
        <w:rPr>
          <w:spacing w:val="-15"/>
        </w:rPr>
        <w:t xml:space="preserve"> </w:t>
      </w:r>
      <w:r>
        <w:t>локалне</w:t>
      </w:r>
      <w:r>
        <w:rPr>
          <w:spacing w:val="-15"/>
        </w:rPr>
        <w:t xml:space="preserve"> </w:t>
      </w:r>
      <w:r>
        <w:t>самоуправе, указујемо да јединице локалне самоуправе могу поднети захтев за добијање сагласности за утврђивање</w:t>
      </w:r>
      <w:r>
        <w:rPr>
          <w:spacing w:val="-8"/>
        </w:rPr>
        <w:t xml:space="preserve"> </w:t>
      </w:r>
      <w:r>
        <w:t>већег</w:t>
      </w:r>
      <w:r>
        <w:rPr>
          <w:spacing w:val="-7"/>
        </w:rPr>
        <w:t xml:space="preserve"> </w:t>
      </w:r>
      <w:r>
        <w:t>износа</w:t>
      </w:r>
      <w:r>
        <w:rPr>
          <w:spacing w:val="-8"/>
        </w:rPr>
        <w:t xml:space="preserve"> </w:t>
      </w:r>
      <w:r>
        <w:t>фирмарине</w:t>
      </w:r>
      <w:r>
        <w:rPr>
          <w:spacing w:val="-8"/>
        </w:rPr>
        <w:t xml:space="preserve"> </w:t>
      </w:r>
      <w:r>
        <w:t>све</w:t>
      </w:r>
      <w:r>
        <w:rPr>
          <w:spacing w:val="-8"/>
        </w:rPr>
        <w:t xml:space="preserve"> </w:t>
      </w:r>
      <w:r>
        <w:t>до</w:t>
      </w:r>
      <w:r>
        <w:rPr>
          <w:spacing w:val="-7"/>
        </w:rPr>
        <w:t xml:space="preserve"> </w:t>
      </w:r>
      <w:r>
        <w:t>окончања</w:t>
      </w:r>
      <w:r>
        <w:rPr>
          <w:spacing w:val="-8"/>
        </w:rPr>
        <w:t xml:space="preserve"> </w:t>
      </w:r>
      <w:r>
        <w:t>поступка</w:t>
      </w:r>
      <w:r>
        <w:rPr>
          <w:spacing w:val="-5"/>
        </w:rPr>
        <w:t xml:space="preserve"> </w:t>
      </w:r>
      <w:r>
        <w:t>утврђивања</w:t>
      </w:r>
      <w:r>
        <w:rPr>
          <w:spacing w:val="-8"/>
        </w:rPr>
        <w:t xml:space="preserve"> </w:t>
      </w:r>
      <w:r>
        <w:t>буџета</w:t>
      </w:r>
      <w:r>
        <w:rPr>
          <w:spacing w:val="-7"/>
        </w:rPr>
        <w:t xml:space="preserve"> </w:t>
      </w:r>
      <w:r>
        <w:t>за</w:t>
      </w:r>
      <w:r>
        <w:rPr>
          <w:spacing w:val="-8"/>
        </w:rPr>
        <w:t xml:space="preserve"> </w:t>
      </w:r>
      <w:r>
        <w:t xml:space="preserve">наредну годину, тј. до усвајања Одлуке о буџету за наредну годину од стране скупштине локалне </w:t>
      </w:r>
      <w:r>
        <w:rPr>
          <w:spacing w:val="-2"/>
        </w:rPr>
        <w:t>власти.</w:t>
      </w:r>
    </w:p>
    <w:p w14:paraId="44DCACFD">
      <w:pPr>
        <w:pStyle w:val="6"/>
        <w:spacing w:before="57" w:line="266" w:lineRule="auto"/>
        <w:ind w:left="4" w:right="290" w:firstLine="720"/>
        <w:rPr>
          <w:rFonts w:hint="default"/>
          <w:lang w:val="sr-Cyrl-RS"/>
        </w:rPr>
      </w:pPr>
      <w:r>
        <w:rPr>
          <w:lang w:val="sr-Cyrl-RS"/>
        </w:rPr>
        <w:t>Приликом утврђивања фирмарине, јединице локалне самоуправе треба да се везују за правно лице, а не за пословни простор  и то на годишњем нивоу.</w:t>
      </w:r>
      <w:r>
        <w:rPr>
          <w:rFonts w:hint="default"/>
          <w:lang w:val="sr-Cyrl-RS"/>
        </w:rPr>
        <w:t xml:space="preserve"> </w:t>
      </w:r>
      <w:r>
        <w:t>Наведено значи да независно од тога на колико је објеката истакнута фирма, укупна годишња фирмарина за одређено правно лице не може бити већа од максимума који је прописан чланом 15а за категорију којој то правно лице припада</w:t>
      </w:r>
      <w:r>
        <w:rPr>
          <w:rFonts w:hint="default"/>
          <w:lang w:val="sr-Cyrl-RS"/>
        </w:rPr>
        <w:t>.</w:t>
      </w:r>
    </w:p>
    <w:p w14:paraId="12153631">
      <w:pPr>
        <w:spacing w:after="0" w:line="240" w:lineRule="auto"/>
        <w:ind w:firstLine="720"/>
        <w:jc w:val="both"/>
        <w:rPr>
          <w:lang w:val="sr-Cyrl-RS"/>
        </w:rPr>
      </w:pPr>
      <w:r>
        <w:rPr>
          <w:lang w:val="sr-Cyrl-RS"/>
        </w:rPr>
        <w:t>Одредбом члана 15а Закона о финансирању локалне самоуправе прописано је да највиши износи локалне комуналне таксе за држање моторних друмских и прикључних возила, осим пољопривредних возила и машина усклађују годишње, са годишњим индексом потрошачких цена који објављује републички орган надлежан за послове статистике.</w:t>
      </w:r>
    </w:p>
    <w:p w14:paraId="3DE81439">
      <w:pPr>
        <w:pStyle w:val="6"/>
        <w:spacing w:before="14" w:line="266" w:lineRule="auto"/>
        <w:ind w:left="14" w:right="295" w:firstLine="725"/>
        <w:rPr>
          <w:spacing w:val="-2"/>
        </w:rPr>
      </w:pPr>
      <w:r>
        <w:t>Највишe износe локалне комуналне таксе, усклађенe са годишњим индексом потрошачких</w:t>
      </w:r>
      <w:r>
        <w:rPr>
          <w:spacing w:val="14"/>
        </w:rPr>
        <w:t xml:space="preserve"> </w:t>
      </w:r>
      <w:r>
        <w:t>цена</w:t>
      </w:r>
      <w:r>
        <w:rPr>
          <w:spacing w:val="18"/>
        </w:rPr>
        <w:t xml:space="preserve"> </w:t>
      </w:r>
      <w:r>
        <w:t>утврђује</w:t>
      </w:r>
      <w:r>
        <w:rPr>
          <w:spacing w:val="18"/>
        </w:rPr>
        <w:t xml:space="preserve"> </w:t>
      </w:r>
      <w:r>
        <w:t>Влада,</w:t>
      </w:r>
      <w:r>
        <w:rPr>
          <w:spacing w:val="16"/>
        </w:rPr>
        <w:t xml:space="preserve"> </w:t>
      </w:r>
      <w:r>
        <w:t>сагласно</w:t>
      </w:r>
      <w:r>
        <w:rPr>
          <w:spacing w:val="16"/>
        </w:rPr>
        <w:t xml:space="preserve"> </w:t>
      </w:r>
      <w:r>
        <w:t>члану</w:t>
      </w:r>
      <w:r>
        <w:rPr>
          <w:spacing w:val="12"/>
        </w:rPr>
        <w:t xml:space="preserve"> </w:t>
      </w:r>
      <w:r>
        <w:t>15в</w:t>
      </w:r>
      <w:r>
        <w:rPr>
          <w:spacing w:val="16"/>
        </w:rPr>
        <w:t xml:space="preserve"> </w:t>
      </w:r>
      <w:r>
        <w:t>став</w:t>
      </w:r>
      <w:r>
        <w:rPr>
          <w:spacing w:val="16"/>
        </w:rPr>
        <w:t xml:space="preserve"> </w:t>
      </w:r>
      <w:r>
        <w:t>4.</w:t>
      </w:r>
      <w:r>
        <w:rPr>
          <w:spacing w:val="16"/>
        </w:rPr>
        <w:t xml:space="preserve"> </w:t>
      </w:r>
      <w:r>
        <w:t>Закона,</w:t>
      </w:r>
      <w:r>
        <w:rPr>
          <w:spacing w:val="16"/>
        </w:rPr>
        <w:t xml:space="preserve"> </w:t>
      </w:r>
      <w:r>
        <w:t>а</w:t>
      </w:r>
      <w:r>
        <w:rPr>
          <w:spacing w:val="16"/>
        </w:rPr>
        <w:t xml:space="preserve"> </w:t>
      </w:r>
      <w:r>
        <w:t>исти</w:t>
      </w:r>
      <w:r>
        <w:rPr>
          <w:spacing w:val="18"/>
        </w:rPr>
        <w:t xml:space="preserve"> </w:t>
      </w:r>
      <w:r>
        <w:t>се</w:t>
      </w:r>
      <w:r>
        <w:rPr>
          <w:spacing w:val="16"/>
        </w:rPr>
        <w:t xml:space="preserve"> </w:t>
      </w:r>
      <w:r>
        <w:t>објављују</w:t>
      </w:r>
      <w:r>
        <w:rPr>
          <w:spacing w:val="17"/>
        </w:rPr>
        <w:t xml:space="preserve"> </w:t>
      </w:r>
      <w:r>
        <w:rPr>
          <w:spacing w:val="-10"/>
        </w:rPr>
        <w:t>у</w:t>
      </w:r>
      <w:r>
        <w:rPr>
          <w:rFonts w:hint="default"/>
          <w:spacing w:val="-10"/>
          <w:lang w:val="sr-Cyrl-RS"/>
        </w:rPr>
        <w:t xml:space="preserve"> </w:t>
      </w:r>
      <w:r>
        <w:t>„Службеном</w:t>
      </w:r>
      <w:r>
        <w:rPr>
          <w:spacing w:val="-5"/>
        </w:rPr>
        <w:t xml:space="preserve"> </w:t>
      </w:r>
      <w:r>
        <w:t>гласнику</w:t>
      </w:r>
      <w:r>
        <w:rPr>
          <w:spacing w:val="-6"/>
        </w:rPr>
        <w:t xml:space="preserve"> </w:t>
      </w:r>
      <w:r>
        <w:t>Републике</w:t>
      </w:r>
      <w:r>
        <w:rPr>
          <w:spacing w:val="-4"/>
        </w:rPr>
        <w:t xml:space="preserve"> </w:t>
      </w:r>
      <w:r>
        <w:rPr>
          <w:spacing w:val="-2"/>
        </w:rPr>
        <w:t>Србије”.</w:t>
      </w:r>
    </w:p>
    <w:p w14:paraId="294A9FF6">
      <w:pPr>
        <w:pStyle w:val="6"/>
        <w:spacing w:before="41" w:line="266" w:lineRule="auto"/>
        <w:ind w:left="14" w:right="285" w:firstLine="725"/>
        <w:rPr>
          <w:rFonts w:hint="default"/>
          <w:lang w:val="sr-Cyrl-RS"/>
        </w:rPr>
      </w:pPr>
      <w:r>
        <w:t>Локална комунална такса за држање моторних друмских и прикључних возила, осим пољопривредних возила и машина, мора бити усклађена са чланом 7. Закона о безбедности саобраћаја на путевима („Службени гласник РС”, бр. 41/09...41/18, 87/18, 23/19, 128/20, 76/23 и 19/25), односно са Правилником о подели моторних и прикључних возила и техничким условима</w:t>
      </w:r>
      <w:r>
        <w:rPr>
          <w:spacing w:val="-13"/>
        </w:rPr>
        <w:t xml:space="preserve"> </w:t>
      </w:r>
      <w:r>
        <w:t>за</w:t>
      </w:r>
      <w:r>
        <w:rPr>
          <w:spacing w:val="-12"/>
        </w:rPr>
        <w:t xml:space="preserve"> </w:t>
      </w:r>
      <w:r>
        <w:t>возила</w:t>
      </w:r>
      <w:r>
        <w:rPr>
          <w:spacing w:val="-8"/>
        </w:rPr>
        <w:t xml:space="preserve"> </w:t>
      </w:r>
      <w:r>
        <w:t>у</w:t>
      </w:r>
      <w:r>
        <w:rPr>
          <w:spacing w:val="-13"/>
        </w:rPr>
        <w:t xml:space="preserve"> </w:t>
      </w:r>
      <w:r>
        <w:t>саобраћају</w:t>
      </w:r>
      <w:r>
        <w:rPr>
          <w:spacing w:val="-15"/>
        </w:rPr>
        <w:t xml:space="preserve"> </w:t>
      </w:r>
      <w:r>
        <w:t>на</w:t>
      </w:r>
      <w:r>
        <w:rPr>
          <w:spacing w:val="-12"/>
        </w:rPr>
        <w:t xml:space="preserve"> </w:t>
      </w:r>
      <w:r>
        <w:t>путевима</w:t>
      </w:r>
      <w:r>
        <w:rPr>
          <w:spacing w:val="-13"/>
        </w:rPr>
        <w:t xml:space="preserve"> </w:t>
      </w:r>
      <w:r>
        <w:t>(„Службени</w:t>
      </w:r>
      <w:r>
        <w:rPr>
          <w:spacing w:val="-11"/>
        </w:rPr>
        <w:t xml:space="preserve"> </w:t>
      </w:r>
      <w:r>
        <w:t>гласник</w:t>
      </w:r>
      <w:r>
        <w:rPr>
          <w:spacing w:val="-11"/>
        </w:rPr>
        <w:t xml:space="preserve"> </w:t>
      </w:r>
      <w:r>
        <w:t>РС”,</w:t>
      </w:r>
      <w:r>
        <w:rPr>
          <w:spacing w:val="-12"/>
        </w:rPr>
        <w:t xml:space="preserve"> </w:t>
      </w:r>
      <w:r>
        <w:t>бр.</w:t>
      </w:r>
      <w:r>
        <w:rPr>
          <w:spacing w:val="-12"/>
        </w:rPr>
        <w:t xml:space="preserve"> </w:t>
      </w:r>
      <w:r>
        <w:t>40/12...70/18,</w:t>
      </w:r>
      <w:r>
        <w:rPr>
          <w:spacing w:val="-12"/>
        </w:rPr>
        <w:t xml:space="preserve"> </w:t>
      </w:r>
      <w:r>
        <w:t>95/18, 104/18,93/19,</w:t>
      </w:r>
      <w:r>
        <w:rPr>
          <w:spacing w:val="-6"/>
        </w:rPr>
        <w:t xml:space="preserve"> </w:t>
      </w:r>
      <w:r>
        <w:t>2/20,</w:t>
      </w:r>
      <w:r>
        <w:rPr>
          <w:spacing w:val="-5"/>
        </w:rPr>
        <w:t xml:space="preserve"> </w:t>
      </w:r>
      <w:r>
        <w:t>64/21,</w:t>
      </w:r>
      <w:r>
        <w:rPr>
          <w:spacing w:val="-6"/>
        </w:rPr>
        <w:t xml:space="preserve"> </w:t>
      </w:r>
      <w:r>
        <w:t>143/22,</w:t>
      </w:r>
      <w:r>
        <w:rPr>
          <w:spacing w:val="-5"/>
        </w:rPr>
        <w:t xml:space="preserve"> </w:t>
      </w:r>
      <w:r>
        <w:t>48/23,</w:t>
      </w:r>
      <w:r>
        <w:rPr>
          <w:spacing w:val="-6"/>
        </w:rPr>
        <w:t xml:space="preserve"> </w:t>
      </w:r>
      <w:r>
        <w:t>24/24,</w:t>
      </w:r>
      <w:r>
        <w:rPr>
          <w:spacing w:val="-8"/>
        </w:rPr>
        <w:t xml:space="preserve"> </w:t>
      </w:r>
      <w:r>
        <w:t>101/24</w:t>
      </w:r>
      <w:r>
        <w:rPr>
          <w:spacing w:val="-6"/>
        </w:rPr>
        <w:t xml:space="preserve"> </w:t>
      </w:r>
      <w:r>
        <w:t>и</w:t>
      </w:r>
      <w:r>
        <w:rPr>
          <w:spacing w:val="-4"/>
        </w:rPr>
        <w:t xml:space="preserve"> </w:t>
      </w:r>
      <w:r>
        <w:t>53/25),</w:t>
      </w:r>
      <w:r>
        <w:rPr>
          <w:spacing w:val="-6"/>
        </w:rPr>
        <w:t xml:space="preserve"> </w:t>
      </w:r>
      <w:r>
        <w:t>донетим</w:t>
      </w:r>
      <w:r>
        <w:rPr>
          <w:spacing w:val="-7"/>
        </w:rPr>
        <w:t xml:space="preserve"> </w:t>
      </w:r>
      <w:r>
        <w:t>на</w:t>
      </w:r>
      <w:r>
        <w:rPr>
          <w:spacing w:val="-6"/>
        </w:rPr>
        <w:t xml:space="preserve"> </w:t>
      </w:r>
      <w:r>
        <w:t>основу</w:t>
      </w:r>
      <w:r>
        <w:rPr>
          <w:spacing w:val="-11"/>
        </w:rPr>
        <w:t xml:space="preserve"> </w:t>
      </w:r>
      <w:r>
        <w:t>члана</w:t>
      </w:r>
      <w:r>
        <w:rPr>
          <w:spacing w:val="-6"/>
        </w:rPr>
        <w:t xml:space="preserve"> </w:t>
      </w:r>
      <w:r>
        <w:t>7.</w:t>
      </w:r>
      <w:r>
        <w:rPr>
          <w:spacing w:val="-5"/>
        </w:rPr>
        <w:t xml:space="preserve"> </w:t>
      </w:r>
      <w:r>
        <w:rPr>
          <w:spacing w:val="-4"/>
        </w:rPr>
        <w:t>став</w:t>
      </w:r>
      <w:r>
        <w:rPr>
          <w:rFonts w:hint="default"/>
          <w:spacing w:val="-4"/>
          <w:lang w:val="sr-Cyrl-RS"/>
        </w:rPr>
        <w:t xml:space="preserve"> </w:t>
      </w:r>
      <w:r>
        <w:t>2. Закона о безбедности саобраћаја на путевима, тако да је потребно ускладити врсте возила са наведеним законом и правилником, а висину комуналне таксе за та возила утврдити у оквиру</w:t>
      </w:r>
      <w:r>
        <w:rPr>
          <w:spacing w:val="-7"/>
        </w:rPr>
        <w:t xml:space="preserve"> </w:t>
      </w:r>
      <w:r>
        <w:t>усклађених</w:t>
      </w:r>
      <w:r>
        <w:rPr>
          <w:spacing w:val="-2"/>
        </w:rPr>
        <w:t xml:space="preserve"> </w:t>
      </w:r>
      <w:r>
        <w:t>највиших</w:t>
      </w:r>
      <w:r>
        <w:rPr>
          <w:spacing w:val="-5"/>
        </w:rPr>
        <w:t xml:space="preserve"> </w:t>
      </w:r>
      <w:r>
        <w:t>износа</w:t>
      </w:r>
      <w:r>
        <w:rPr>
          <w:spacing w:val="-5"/>
        </w:rPr>
        <w:t xml:space="preserve"> </w:t>
      </w:r>
      <w:r>
        <w:t>ове</w:t>
      </w:r>
      <w:r>
        <w:rPr>
          <w:spacing w:val="-6"/>
        </w:rPr>
        <w:t xml:space="preserve"> </w:t>
      </w:r>
      <w:r>
        <w:t>локалне</w:t>
      </w:r>
      <w:r>
        <w:rPr>
          <w:spacing w:val="-5"/>
        </w:rPr>
        <w:t xml:space="preserve"> </w:t>
      </w:r>
      <w:r>
        <w:t>комуналне</w:t>
      </w:r>
      <w:r>
        <w:rPr>
          <w:spacing w:val="-5"/>
        </w:rPr>
        <w:t xml:space="preserve"> </w:t>
      </w:r>
      <w:r>
        <w:t>таксе,</w:t>
      </w:r>
      <w:r>
        <w:rPr>
          <w:spacing w:val="-4"/>
        </w:rPr>
        <w:t xml:space="preserve"> </w:t>
      </w:r>
      <w:r>
        <w:t>како</w:t>
      </w:r>
      <w:r>
        <w:rPr>
          <w:spacing w:val="-4"/>
        </w:rPr>
        <w:t xml:space="preserve"> </w:t>
      </w:r>
      <w:r>
        <w:t>би</w:t>
      </w:r>
      <w:r>
        <w:rPr>
          <w:spacing w:val="-3"/>
        </w:rPr>
        <w:t xml:space="preserve"> </w:t>
      </w:r>
      <w:r>
        <w:t>полицијске</w:t>
      </w:r>
      <w:r>
        <w:rPr>
          <w:spacing w:val="-3"/>
        </w:rPr>
        <w:t xml:space="preserve"> </w:t>
      </w:r>
      <w:r>
        <w:t>управе без проблема вршиле наплату овог локалног јавног прихода.</w:t>
      </w:r>
      <w:r>
        <w:rPr>
          <w:rFonts w:hint="default"/>
          <w:lang w:val="sr-Cyrl-RS"/>
        </w:rPr>
        <w:t xml:space="preserve"> </w:t>
      </w:r>
    </w:p>
    <w:p w14:paraId="427D7337">
      <w:pPr>
        <w:pStyle w:val="6"/>
        <w:spacing w:before="14" w:line="266" w:lineRule="auto"/>
        <w:ind w:left="14" w:right="290" w:firstLine="725"/>
      </w:pPr>
      <w:r>
        <w:rPr>
          <w:lang w:val="sr-Cyrl-RS"/>
        </w:rPr>
        <w:t>Имајући у виду да према члану 32. Закона о локалној самоуправи („Сл. гласник РС“, бр. 129/07, 83/14 – др. закон, 101/16 – др. закон, 47/18 и 111/21) скупштина јединица локалне самоуправе, у складу са законом, између осталог, утврђује стопе изворних прихода, као и начин и мерила за одређивање висине локалних такси и накнада, јединице локалне самоуправе су у обавези, да приликом одређивања висине локалних комуналних такси, имају у виду члан 91. Устава Републике Србије, према коме се обавеза плаћања пореза и других дажбина заснива на економској моћи обвезника.</w:t>
      </w:r>
      <w:r>
        <w:rPr>
          <w:rFonts w:hint="default"/>
          <w:lang w:val="sr-Cyrl-RS"/>
        </w:rPr>
        <w:t xml:space="preserve"> </w:t>
      </w:r>
      <w:r>
        <w:t>У</w:t>
      </w:r>
      <w:r>
        <w:rPr>
          <w:spacing w:val="80"/>
        </w:rPr>
        <w:t xml:space="preserve"> </w:t>
      </w:r>
      <w:r>
        <w:t>складу</w:t>
      </w:r>
      <w:r>
        <w:rPr>
          <w:spacing w:val="80"/>
        </w:rPr>
        <w:t xml:space="preserve"> </w:t>
      </w:r>
      <w:r>
        <w:t>са</w:t>
      </w:r>
      <w:r>
        <w:rPr>
          <w:spacing w:val="80"/>
        </w:rPr>
        <w:t xml:space="preserve"> </w:t>
      </w:r>
      <w:r>
        <w:t>тим,</w:t>
      </w:r>
      <w:r>
        <w:rPr>
          <w:spacing w:val="80"/>
        </w:rPr>
        <w:t xml:space="preserve"> </w:t>
      </w:r>
      <w:r>
        <w:t>јединице</w:t>
      </w:r>
      <w:r>
        <w:rPr>
          <w:spacing w:val="80"/>
        </w:rPr>
        <w:t xml:space="preserve"> </w:t>
      </w:r>
      <w:r>
        <w:t>локал</w:t>
      </w:r>
      <w:r>
        <w:rPr>
          <w:lang w:val="sr-Cyrl-RS"/>
        </w:rPr>
        <w:t>не</w:t>
      </w:r>
      <w:r>
        <w:rPr>
          <w:rFonts w:hint="default"/>
          <w:lang w:val="sr-Cyrl-RS"/>
        </w:rPr>
        <w:t xml:space="preserve"> </w:t>
      </w:r>
      <w:r>
        <w:t>самоуправе су у обавези да определе висину локалних комуналних такси која неће угрозити нормално функционисање обвезника.</w:t>
      </w:r>
    </w:p>
    <w:p w14:paraId="16955EE3">
      <w:pPr>
        <w:pStyle w:val="6"/>
        <w:spacing w:before="14" w:line="266" w:lineRule="auto"/>
        <w:ind w:left="14" w:right="294" w:firstLine="725"/>
      </w:pPr>
      <w:r>
        <w:t>Такође, актом којим се утврђују локалне комуналне таксе не може се прописивати таксени основ, односно проширивати предмет таксене обавезе утврђене законом, с обзиром да би то за последицу имало неусклађеност одлуке са Уставом и законом.</w:t>
      </w:r>
    </w:p>
    <w:p w14:paraId="2EEF848C">
      <w:pPr>
        <w:spacing w:after="0" w:line="240" w:lineRule="auto"/>
        <w:ind w:firstLine="720"/>
        <w:jc w:val="both"/>
        <w:rPr>
          <w:rFonts w:hint="default"/>
          <w:lang w:val="sr-Cyrl-RS"/>
        </w:rPr>
      </w:pPr>
    </w:p>
    <w:p w14:paraId="2C0E464F">
      <w:pPr>
        <w:numPr>
          <w:ilvl w:val="0"/>
          <w:numId w:val="1"/>
        </w:numPr>
        <w:ind w:left="0" w:leftChars="0" w:firstLine="720" w:firstLineChars="0"/>
        <w:rPr>
          <w:b/>
          <w:bCs/>
        </w:rPr>
      </w:pPr>
      <w:r>
        <w:rPr>
          <w:b/>
          <w:bCs/>
        </w:rPr>
        <w:t>Обим</w:t>
      </w:r>
      <w:r>
        <w:rPr>
          <w:b/>
          <w:bCs/>
          <w:spacing w:val="-4"/>
        </w:rPr>
        <w:t xml:space="preserve"> </w:t>
      </w:r>
      <w:r>
        <w:rPr>
          <w:b/>
          <w:bCs/>
        </w:rPr>
        <w:t>средстава,</w:t>
      </w:r>
      <w:r>
        <w:rPr>
          <w:b/>
          <w:bCs/>
          <w:spacing w:val="-3"/>
        </w:rPr>
        <w:t xml:space="preserve"> </w:t>
      </w:r>
      <w:r>
        <w:rPr>
          <w:b/>
          <w:bCs/>
        </w:rPr>
        <w:t>односно</w:t>
      </w:r>
      <w:r>
        <w:rPr>
          <w:b/>
          <w:bCs/>
          <w:spacing w:val="-3"/>
        </w:rPr>
        <w:t xml:space="preserve"> </w:t>
      </w:r>
      <w:r>
        <w:rPr>
          <w:b/>
          <w:bCs/>
        </w:rPr>
        <w:t>лимит</w:t>
      </w:r>
      <w:r>
        <w:rPr>
          <w:b/>
          <w:bCs/>
          <w:spacing w:val="-2"/>
        </w:rPr>
        <w:t xml:space="preserve"> </w:t>
      </w:r>
      <w:r>
        <w:rPr>
          <w:b/>
          <w:bCs/>
        </w:rPr>
        <w:t>расхода</w:t>
      </w:r>
      <w:r>
        <w:rPr>
          <w:b/>
          <w:bCs/>
          <w:spacing w:val="-6"/>
        </w:rPr>
        <w:t xml:space="preserve"> </w:t>
      </w:r>
      <w:r>
        <w:rPr>
          <w:b/>
          <w:bCs/>
        </w:rPr>
        <w:t>и</w:t>
      </w:r>
      <w:r>
        <w:rPr>
          <w:b/>
          <w:bCs/>
          <w:spacing w:val="-3"/>
        </w:rPr>
        <w:t xml:space="preserve"> </w:t>
      </w:r>
      <w:r>
        <w:rPr>
          <w:b/>
          <w:bCs/>
        </w:rPr>
        <w:t>издатака</w:t>
      </w:r>
      <w:r>
        <w:rPr>
          <w:b/>
          <w:bCs/>
          <w:spacing w:val="-3"/>
        </w:rPr>
        <w:t xml:space="preserve"> </w:t>
      </w:r>
      <w:r>
        <w:rPr>
          <w:b/>
          <w:bCs/>
        </w:rPr>
        <w:t>буџетских</w:t>
      </w:r>
      <w:r>
        <w:rPr>
          <w:b/>
          <w:bCs/>
          <w:spacing w:val="-6"/>
        </w:rPr>
        <w:t xml:space="preserve"> </w:t>
      </w:r>
      <w:r>
        <w:rPr>
          <w:b/>
          <w:bCs/>
        </w:rPr>
        <w:t>корисника</w:t>
      </w:r>
      <w:r>
        <w:rPr>
          <w:b/>
          <w:bCs/>
          <w:spacing w:val="-3"/>
        </w:rPr>
        <w:t xml:space="preserve"> </w:t>
      </w:r>
      <w:r>
        <w:rPr>
          <w:b/>
          <w:bCs/>
        </w:rPr>
        <w:t>за</w:t>
      </w:r>
      <w:r>
        <w:rPr>
          <w:b/>
          <w:bCs/>
          <w:spacing w:val="-3"/>
        </w:rPr>
        <w:t xml:space="preserve"> </w:t>
      </w:r>
      <w:r>
        <w:rPr>
          <w:b/>
          <w:bCs/>
        </w:rPr>
        <w:t>2026. годину, са пројекцијама за наредне две фискалне године</w:t>
      </w:r>
    </w:p>
    <w:p w14:paraId="4DA2EA6F">
      <w:pPr>
        <w:pStyle w:val="3"/>
        <w:ind w:left="19"/>
        <w:jc w:val="both"/>
        <w:rPr>
          <w:rFonts w:hint="default" w:cs="Calibri" w:asciiTheme="minorAscii" w:hAnsiTheme="minorAscii"/>
          <w:i w:val="0"/>
          <w:iCs w:val="0"/>
          <w:sz w:val="22"/>
          <w:szCs w:val="22"/>
        </w:rPr>
      </w:pPr>
      <w:r>
        <w:rPr>
          <w:rFonts w:hint="default" w:cs="Calibri" w:asciiTheme="minorAscii" w:hAnsiTheme="minorAscii"/>
          <w:i w:val="0"/>
          <w:sz w:val="22"/>
          <w:szCs w:val="22"/>
        </w:rPr>
        <w:t>I</w:t>
      </w:r>
      <w:r>
        <w:rPr>
          <w:rFonts w:hint="default" w:cs="Calibri" w:asciiTheme="minorAscii" w:hAnsiTheme="minorAscii"/>
          <w:i w:val="0"/>
          <w:spacing w:val="26"/>
          <w:sz w:val="22"/>
          <w:szCs w:val="22"/>
        </w:rPr>
        <w:t xml:space="preserve">  </w:t>
      </w:r>
      <w:r>
        <w:rPr>
          <w:rFonts w:hint="default" w:cs="Calibri" w:asciiTheme="minorAscii" w:hAnsiTheme="minorAscii"/>
          <w:i w:val="0"/>
          <w:iCs w:val="0"/>
          <w:sz w:val="22"/>
          <w:szCs w:val="22"/>
        </w:rPr>
        <w:t>Планирање</w:t>
      </w:r>
      <w:r>
        <w:rPr>
          <w:rFonts w:hint="default" w:cs="Calibri" w:asciiTheme="minorAscii" w:hAnsiTheme="minorAscii"/>
          <w:i w:val="0"/>
          <w:iCs w:val="0"/>
          <w:spacing w:val="-2"/>
          <w:sz w:val="22"/>
          <w:szCs w:val="22"/>
        </w:rPr>
        <w:t xml:space="preserve"> </w:t>
      </w:r>
      <w:r>
        <w:rPr>
          <w:rFonts w:hint="default" w:cs="Calibri" w:asciiTheme="minorAscii" w:hAnsiTheme="minorAscii"/>
          <w:i w:val="0"/>
          <w:iCs w:val="0"/>
          <w:sz w:val="22"/>
          <w:szCs w:val="22"/>
        </w:rPr>
        <w:t>масе</w:t>
      </w:r>
      <w:r>
        <w:rPr>
          <w:rFonts w:hint="default" w:cs="Calibri" w:asciiTheme="minorAscii" w:hAnsiTheme="minorAscii"/>
          <w:i w:val="0"/>
          <w:iCs w:val="0"/>
          <w:spacing w:val="-2"/>
          <w:sz w:val="22"/>
          <w:szCs w:val="22"/>
        </w:rPr>
        <w:t xml:space="preserve"> </w:t>
      </w:r>
      <w:r>
        <w:rPr>
          <w:rFonts w:hint="default" w:cs="Calibri" w:asciiTheme="minorAscii" w:hAnsiTheme="minorAscii"/>
          <w:i w:val="0"/>
          <w:iCs w:val="0"/>
          <w:sz w:val="22"/>
          <w:szCs w:val="22"/>
        </w:rPr>
        <w:t>средстава</w:t>
      </w:r>
      <w:r>
        <w:rPr>
          <w:rFonts w:hint="default" w:cs="Calibri" w:asciiTheme="minorAscii" w:hAnsiTheme="minorAscii"/>
          <w:i w:val="0"/>
          <w:iCs w:val="0"/>
          <w:spacing w:val="-1"/>
          <w:sz w:val="22"/>
          <w:szCs w:val="22"/>
        </w:rPr>
        <w:t xml:space="preserve"> </w:t>
      </w:r>
      <w:r>
        <w:rPr>
          <w:rFonts w:hint="default" w:cs="Calibri" w:asciiTheme="minorAscii" w:hAnsiTheme="minorAscii"/>
          <w:i w:val="0"/>
          <w:iCs w:val="0"/>
          <w:sz w:val="22"/>
          <w:szCs w:val="22"/>
        </w:rPr>
        <w:t>за</w:t>
      </w:r>
      <w:r>
        <w:rPr>
          <w:rFonts w:hint="default" w:cs="Calibri" w:asciiTheme="minorAscii" w:hAnsiTheme="minorAscii"/>
          <w:i w:val="0"/>
          <w:iCs w:val="0"/>
          <w:spacing w:val="-1"/>
          <w:sz w:val="22"/>
          <w:szCs w:val="22"/>
        </w:rPr>
        <w:t xml:space="preserve"> </w:t>
      </w:r>
      <w:r>
        <w:rPr>
          <w:rFonts w:hint="default" w:cs="Calibri" w:asciiTheme="minorAscii" w:hAnsiTheme="minorAscii"/>
          <w:i w:val="0"/>
          <w:iCs w:val="0"/>
          <w:sz w:val="22"/>
          <w:szCs w:val="22"/>
        </w:rPr>
        <w:t>плате</w:t>
      </w:r>
      <w:r>
        <w:rPr>
          <w:rFonts w:hint="default" w:cs="Calibri" w:asciiTheme="minorAscii" w:hAnsiTheme="minorAscii"/>
          <w:i w:val="0"/>
          <w:iCs w:val="0"/>
          <w:spacing w:val="-2"/>
          <w:sz w:val="22"/>
          <w:szCs w:val="22"/>
        </w:rPr>
        <w:t xml:space="preserve"> </w:t>
      </w:r>
      <w:r>
        <w:rPr>
          <w:rFonts w:hint="default" w:cs="Calibri" w:asciiTheme="minorAscii" w:hAnsiTheme="minorAscii"/>
          <w:i w:val="0"/>
          <w:iCs w:val="0"/>
          <w:sz w:val="22"/>
          <w:szCs w:val="22"/>
        </w:rPr>
        <w:t>запослених</w:t>
      </w:r>
      <w:r>
        <w:rPr>
          <w:rFonts w:hint="default" w:cs="Calibri" w:asciiTheme="minorAscii" w:hAnsiTheme="minorAscii"/>
          <w:i w:val="0"/>
          <w:iCs w:val="0"/>
          <w:spacing w:val="-1"/>
          <w:sz w:val="22"/>
          <w:szCs w:val="22"/>
        </w:rPr>
        <w:t xml:space="preserve"> </w:t>
      </w:r>
      <w:r>
        <w:rPr>
          <w:rFonts w:hint="default" w:cs="Calibri" w:asciiTheme="minorAscii" w:hAnsiTheme="minorAscii"/>
          <w:i w:val="0"/>
          <w:iCs w:val="0"/>
          <w:sz w:val="22"/>
          <w:szCs w:val="22"/>
        </w:rPr>
        <w:t>у</w:t>
      </w:r>
      <w:r>
        <w:rPr>
          <w:rFonts w:hint="default" w:cs="Calibri" w:asciiTheme="minorAscii" w:hAnsiTheme="minorAscii"/>
          <w:i w:val="0"/>
          <w:iCs w:val="0"/>
          <w:spacing w:val="-1"/>
          <w:sz w:val="22"/>
          <w:szCs w:val="22"/>
        </w:rPr>
        <w:t xml:space="preserve"> </w:t>
      </w:r>
      <w:r>
        <w:rPr>
          <w:rFonts w:hint="default" w:cs="Calibri" w:asciiTheme="minorAscii" w:hAnsiTheme="minorAscii"/>
          <w:i w:val="0"/>
          <w:iCs w:val="0"/>
          <w:sz w:val="22"/>
          <w:szCs w:val="22"/>
        </w:rPr>
        <w:t>2026.</w:t>
      </w:r>
      <w:r>
        <w:rPr>
          <w:rFonts w:hint="default" w:cs="Calibri" w:asciiTheme="minorAscii" w:hAnsiTheme="minorAscii"/>
          <w:i w:val="0"/>
          <w:iCs w:val="0"/>
          <w:spacing w:val="-1"/>
          <w:sz w:val="22"/>
          <w:szCs w:val="22"/>
        </w:rPr>
        <w:t xml:space="preserve"> </w:t>
      </w:r>
      <w:r>
        <w:rPr>
          <w:rFonts w:hint="default" w:cs="Calibri" w:asciiTheme="minorAscii" w:hAnsiTheme="minorAscii"/>
          <w:i w:val="0"/>
          <w:iCs w:val="0"/>
          <w:spacing w:val="-2"/>
          <w:sz w:val="22"/>
          <w:szCs w:val="22"/>
        </w:rPr>
        <w:t>години</w:t>
      </w:r>
    </w:p>
    <w:p w14:paraId="65E7F6BE">
      <w:pPr>
        <w:numPr>
          <w:ilvl w:val="0"/>
          <w:numId w:val="0"/>
        </w:numPr>
        <w:ind w:left="720" w:leftChars="0"/>
        <w:rPr>
          <w:b/>
          <w:bCs/>
        </w:rPr>
      </w:pPr>
    </w:p>
    <w:p w14:paraId="3AAC055D">
      <w:pPr>
        <w:pStyle w:val="20"/>
        <w:numPr>
          <w:ilvl w:val="0"/>
          <w:numId w:val="2"/>
        </w:numPr>
        <w:ind w:firstLine="110" w:firstLineChars="50"/>
        <w:rPr>
          <w:b/>
        </w:rPr>
      </w:pPr>
      <w:r>
        <w:rPr>
          <w:b/>
        </w:rPr>
        <w:t xml:space="preserve">Законско уређење плата </w:t>
      </w:r>
    </w:p>
    <w:p w14:paraId="47044D33">
      <w:pPr>
        <w:pStyle w:val="6"/>
        <w:spacing w:line="266" w:lineRule="auto"/>
        <w:ind w:left="4" w:right="291" w:firstLine="734"/>
      </w:pPr>
      <w:r>
        <w:t>Плате изабраних, постављених и запослених лица код корисника буџета локалне власти уређенe су:</w:t>
      </w:r>
    </w:p>
    <w:p w14:paraId="1EAC982A">
      <w:pPr>
        <w:pStyle w:val="20"/>
        <w:numPr>
          <w:ilvl w:val="0"/>
          <w:numId w:val="3"/>
        </w:numPr>
        <w:tabs>
          <w:tab w:val="left" w:pos="160"/>
        </w:tabs>
        <w:spacing w:before="13" w:after="0" w:line="256" w:lineRule="auto"/>
        <w:ind w:left="19" w:right="295" w:firstLine="0"/>
        <w:jc w:val="both"/>
        <w:rPr>
          <w:sz w:val="22"/>
          <w:szCs w:val="22"/>
        </w:rPr>
      </w:pPr>
      <w:r>
        <w:rPr>
          <w:sz w:val="22"/>
          <w:szCs w:val="22"/>
        </w:rPr>
        <w:t>Законом о платама у државним органима и јавним службама („Службени гласник РС”, бр. 34/01, 62/06...19/25);</w:t>
      </w:r>
    </w:p>
    <w:p w14:paraId="296FD46A">
      <w:pPr>
        <w:pStyle w:val="20"/>
        <w:numPr>
          <w:ilvl w:val="0"/>
          <w:numId w:val="3"/>
        </w:numPr>
        <w:tabs>
          <w:tab w:val="left" w:pos="160"/>
        </w:tabs>
        <w:spacing w:before="3" w:after="0" w:line="256" w:lineRule="auto"/>
        <w:ind w:left="19" w:right="298" w:firstLine="0"/>
        <w:jc w:val="both"/>
        <w:rPr>
          <w:sz w:val="22"/>
          <w:szCs w:val="22"/>
        </w:rPr>
      </w:pPr>
      <w:r>
        <w:rPr>
          <w:sz w:val="22"/>
          <w:szCs w:val="22"/>
        </w:rPr>
        <w:t>Законом о запосленима у аутономним покрајинама и јединицама локалне самоуправе („Службени гласник РС”, бр. 21/16, 113/17, 113/17-др. закон, 95/18, 114/21 и 92/23)</w:t>
      </w:r>
    </w:p>
    <w:p w14:paraId="03841455">
      <w:pPr>
        <w:pStyle w:val="20"/>
        <w:numPr>
          <w:ilvl w:val="0"/>
          <w:numId w:val="3"/>
        </w:numPr>
        <w:tabs>
          <w:tab w:val="left" w:pos="160"/>
        </w:tabs>
        <w:spacing w:before="2" w:after="0" w:line="259" w:lineRule="auto"/>
        <w:ind w:left="19" w:right="290" w:firstLine="0"/>
        <w:jc w:val="both"/>
        <w:rPr>
          <w:sz w:val="22"/>
          <w:szCs w:val="22"/>
        </w:rPr>
      </w:pPr>
      <w:r>
        <w:rPr>
          <w:sz w:val="22"/>
          <w:szCs w:val="22"/>
        </w:rPr>
        <w:t>Уредбом о коефицијентима за обрачун и исплату плата именованих и постављених лица и запослених</w:t>
      </w:r>
      <w:r>
        <w:rPr>
          <w:spacing w:val="-4"/>
          <w:sz w:val="22"/>
          <w:szCs w:val="22"/>
        </w:rPr>
        <w:t xml:space="preserve"> </w:t>
      </w:r>
      <w:r>
        <w:rPr>
          <w:sz w:val="22"/>
          <w:szCs w:val="22"/>
        </w:rPr>
        <w:t>у</w:t>
      </w:r>
      <w:r>
        <w:rPr>
          <w:spacing w:val="-12"/>
          <w:sz w:val="22"/>
          <w:szCs w:val="22"/>
        </w:rPr>
        <w:t xml:space="preserve"> </w:t>
      </w:r>
      <w:r>
        <w:rPr>
          <w:sz w:val="22"/>
          <w:szCs w:val="22"/>
        </w:rPr>
        <w:t>државним</w:t>
      </w:r>
      <w:r>
        <w:rPr>
          <w:spacing w:val="-9"/>
          <w:sz w:val="22"/>
          <w:szCs w:val="22"/>
        </w:rPr>
        <w:t xml:space="preserve"> </w:t>
      </w:r>
      <w:r>
        <w:rPr>
          <w:sz w:val="22"/>
          <w:szCs w:val="22"/>
        </w:rPr>
        <w:t>органима</w:t>
      </w:r>
      <w:r>
        <w:rPr>
          <w:spacing w:val="-9"/>
          <w:sz w:val="22"/>
          <w:szCs w:val="22"/>
        </w:rPr>
        <w:t xml:space="preserve"> </w:t>
      </w:r>
      <w:r>
        <w:rPr>
          <w:sz w:val="22"/>
          <w:szCs w:val="22"/>
        </w:rPr>
        <w:t>(„Службени</w:t>
      </w:r>
      <w:r>
        <w:rPr>
          <w:spacing w:val="-7"/>
          <w:sz w:val="22"/>
          <w:szCs w:val="22"/>
        </w:rPr>
        <w:t xml:space="preserve"> </w:t>
      </w:r>
      <w:r>
        <w:rPr>
          <w:sz w:val="22"/>
          <w:szCs w:val="22"/>
        </w:rPr>
        <w:t>гласник</w:t>
      </w:r>
      <w:r>
        <w:rPr>
          <w:spacing w:val="-8"/>
          <w:sz w:val="22"/>
          <w:szCs w:val="22"/>
        </w:rPr>
        <w:t xml:space="preserve"> </w:t>
      </w:r>
      <w:r>
        <w:rPr>
          <w:sz w:val="22"/>
          <w:szCs w:val="22"/>
        </w:rPr>
        <w:t>РС”,</w:t>
      </w:r>
      <w:r>
        <w:rPr>
          <w:spacing w:val="-8"/>
          <w:sz w:val="22"/>
          <w:szCs w:val="22"/>
        </w:rPr>
        <w:t xml:space="preserve"> </w:t>
      </w:r>
      <w:r>
        <w:rPr>
          <w:sz w:val="22"/>
          <w:szCs w:val="22"/>
        </w:rPr>
        <w:t>бр.</w:t>
      </w:r>
      <w:r>
        <w:rPr>
          <w:spacing w:val="-8"/>
          <w:sz w:val="22"/>
          <w:szCs w:val="22"/>
        </w:rPr>
        <w:t xml:space="preserve"> </w:t>
      </w:r>
      <w:r>
        <w:rPr>
          <w:sz w:val="22"/>
          <w:szCs w:val="22"/>
        </w:rPr>
        <w:t>44/08</w:t>
      </w:r>
      <w:r>
        <w:rPr>
          <w:spacing w:val="-2"/>
          <w:sz w:val="22"/>
          <w:szCs w:val="22"/>
        </w:rPr>
        <w:t xml:space="preserve"> </w:t>
      </w:r>
      <w:r>
        <w:rPr>
          <w:sz w:val="22"/>
          <w:szCs w:val="22"/>
        </w:rPr>
        <w:t>-</w:t>
      </w:r>
      <w:r>
        <w:rPr>
          <w:spacing w:val="-7"/>
          <w:sz w:val="22"/>
          <w:szCs w:val="22"/>
        </w:rPr>
        <w:t xml:space="preserve"> </w:t>
      </w:r>
      <w:r>
        <w:rPr>
          <w:sz w:val="22"/>
          <w:szCs w:val="22"/>
        </w:rPr>
        <w:t>пречишћен</w:t>
      </w:r>
      <w:r>
        <w:rPr>
          <w:spacing w:val="-7"/>
          <w:sz w:val="22"/>
          <w:szCs w:val="22"/>
        </w:rPr>
        <w:t xml:space="preserve"> </w:t>
      </w:r>
      <w:r>
        <w:rPr>
          <w:sz w:val="22"/>
          <w:szCs w:val="22"/>
        </w:rPr>
        <w:t>текст,</w:t>
      </w:r>
      <w:r>
        <w:rPr>
          <w:spacing w:val="-8"/>
          <w:sz w:val="22"/>
          <w:szCs w:val="22"/>
        </w:rPr>
        <w:t xml:space="preserve"> </w:t>
      </w:r>
      <w:r>
        <w:rPr>
          <w:sz w:val="22"/>
          <w:szCs w:val="22"/>
        </w:rPr>
        <w:t>2/12, 113/17-др.закон, 23/18 и 39/25);</w:t>
      </w:r>
    </w:p>
    <w:p w14:paraId="1BEE2257">
      <w:pPr>
        <w:pStyle w:val="20"/>
        <w:numPr>
          <w:ilvl w:val="0"/>
          <w:numId w:val="3"/>
        </w:numPr>
        <w:tabs>
          <w:tab w:val="left" w:pos="160"/>
        </w:tabs>
        <w:spacing w:before="0" w:after="0" w:line="256" w:lineRule="auto"/>
        <w:ind w:left="19" w:right="299" w:firstLine="0"/>
        <w:jc w:val="both"/>
        <w:rPr>
          <w:sz w:val="22"/>
          <w:szCs w:val="22"/>
        </w:rPr>
      </w:pPr>
      <w:r>
        <w:rPr>
          <w:sz w:val="22"/>
          <w:szCs w:val="22"/>
        </w:rPr>
        <w:t>Уредбом о коефицијентима за обрачун и исплату плата запослених у јавним службама („Службени гласник РС”, бр. 44/01... 101/24, 5/25, 12/25, 13/25 и 17/25);</w:t>
      </w:r>
    </w:p>
    <w:p w14:paraId="600E601F">
      <w:pPr>
        <w:pStyle w:val="20"/>
        <w:numPr>
          <w:ilvl w:val="0"/>
          <w:numId w:val="3"/>
        </w:numPr>
        <w:tabs>
          <w:tab w:val="left" w:pos="160"/>
        </w:tabs>
        <w:spacing w:before="0" w:after="0" w:line="240" w:lineRule="auto"/>
        <w:ind w:left="160" w:right="0" w:hanging="141"/>
        <w:jc w:val="both"/>
        <w:rPr>
          <w:sz w:val="22"/>
          <w:szCs w:val="22"/>
        </w:rPr>
      </w:pPr>
      <w:r>
        <w:rPr>
          <w:sz w:val="22"/>
          <w:szCs w:val="22"/>
        </w:rPr>
        <w:t>Другим</w:t>
      </w:r>
      <w:r>
        <w:rPr>
          <w:spacing w:val="-6"/>
          <w:sz w:val="22"/>
          <w:szCs w:val="22"/>
        </w:rPr>
        <w:t xml:space="preserve"> </w:t>
      </w:r>
      <w:r>
        <w:rPr>
          <w:sz w:val="22"/>
          <w:szCs w:val="22"/>
        </w:rPr>
        <w:t>релевантним</w:t>
      </w:r>
      <w:r>
        <w:rPr>
          <w:spacing w:val="-4"/>
          <w:sz w:val="22"/>
          <w:szCs w:val="22"/>
        </w:rPr>
        <w:t xml:space="preserve"> </w:t>
      </w:r>
      <w:r>
        <w:rPr>
          <w:sz w:val="22"/>
          <w:szCs w:val="22"/>
        </w:rPr>
        <w:t>прописима</w:t>
      </w:r>
      <w:r>
        <w:rPr>
          <w:spacing w:val="-4"/>
          <w:sz w:val="22"/>
          <w:szCs w:val="22"/>
        </w:rPr>
        <w:t xml:space="preserve"> </w:t>
      </w:r>
      <w:r>
        <w:rPr>
          <w:sz w:val="22"/>
          <w:szCs w:val="22"/>
        </w:rPr>
        <w:t>који уређују</w:t>
      </w:r>
      <w:r>
        <w:rPr>
          <w:spacing w:val="-6"/>
          <w:sz w:val="22"/>
          <w:szCs w:val="22"/>
        </w:rPr>
        <w:t xml:space="preserve"> </w:t>
      </w:r>
      <w:r>
        <w:rPr>
          <w:sz w:val="22"/>
          <w:szCs w:val="22"/>
        </w:rPr>
        <w:t>елементе</w:t>
      </w:r>
      <w:r>
        <w:rPr>
          <w:spacing w:val="-2"/>
          <w:sz w:val="22"/>
          <w:szCs w:val="22"/>
        </w:rPr>
        <w:t xml:space="preserve"> </w:t>
      </w:r>
      <w:r>
        <w:rPr>
          <w:sz w:val="22"/>
          <w:szCs w:val="22"/>
        </w:rPr>
        <w:t>за</w:t>
      </w:r>
      <w:r>
        <w:rPr>
          <w:spacing w:val="-4"/>
          <w:sz w:val="22"/>
          <w:szCs w:val="22"/>
        </w:rPr>
        <w:t xml:space="preserve"> </w:t>
      </w:r>
      <w:r>
        <w:rPr>
          <w:sz w:val="22"/>
          <w:szCs w:val="22"/>
        </w:rPr>
        <w:t>обрачун</w:t>
      </w:r>
      <w:r>
        <w:rPr>
          <w:spacing w:val="-3"/>
          <w:sz w:val="22"/>
          <w:szCs w:val="22"/>
        </w:rPr>
        <w:t xml:space="preserve"> </w:t>
      </w:r>
      <w:r>
        <w:rPr>
          <w:sz w:val="22"/>
          <w:szCs w:val="22"/>
        </w:rPr>
        <w:t>и</w:t>
      </w:r>
      <w:r>
        <w:rPr>
          <w:spacing w:val="-3"/>
          <w:sz w:val="22"/>
          <w:szCs w:val="22"/>
        </w:rPr>
        <w:t xml:space="preserve"> </w:t>
      </w:r>
      <w:r>
        <w:rPr>
          <w:sz w:val="22"/>
          <w:szCs w:val="22"/>
        </w:rPr>
        <w:t>исплату</w:t>
      </w:r>
      <w:r>
        <w:rPr>
          <w:spacing w:val="-10"/>
          <w:sz w:val="22"/>
          <w:szCs w:val="22"/>
        </w:rPr>
        <w:t xml:space="preserve"> </w:t>
      </w:r>
      <w:r>
        <w:rPr>
          <w:spacing w:val="-2"/>
          <w:sz w:val="22"/>
          <w:szCs w:val="22"/>
        </w:rPr>
        <w:t>плата.</w:t>
      </w:r>
    </w:p>
    <w:p w14:paraId="36D46C78">
      <w:pPr>
        <w:pStyle w:val="3"/>
        <w:spacing w:before="187"/>
        <w:ind w:left="446"/>
        <w:rPr>
          <w:rFonts w:hint="default" w:cs="Calibri" w:asciiTheme="minorAscii" w:hAnsiTheme="minorAscii"/>
          <w:i w:val="0"/>
          <w:iCs w:val="0"/>
          <w:sz w:val="22"/>
          <w:szCs w:val="22"/>
        </w:rPr>
      </w:pPr>
      <w:r>
        <w:rPr>
          <w:rFonts w:hint="default" w:asciiTheme="minorAscii" w:hAnsiTheme="minorAscii"/>
          <w:i w:val="0"/>
          <w:iCs w:val="0"/>
          <w:sz w:val="22"/>
          <w:szCs w:val="22"/>
        </w:rPr>
        <w:t>б)</w:t>
      </w:r>
      <w:r>
        <w:rPr>
          <w:rFonts w:hint="default" w:asciiTheme="minorAscii" w:hAnsiTheme="minorAscii"/>
          <w:i w:val="0"/>
          <w:iCs w:val="0"/>
          <w:spacing w:val="-3"/>
          <w:sz w:val="22"/>
          <w:szCs w:val="22"/>
        </w:rPr>
        <w:t xml:space="preserve"> </w:t>
      </w:r>
      <w:r>
        <w:rPr>
          <w:rFonts w:hint="default" w:cs="Calibri" w:asciiTheme="minorAscii" w:hAnsiTheme="minorAscii"/>
          <w:i w:val="0"/>
          <w:iCs w:val="0"/>
          <w:sz w:val="22"/>
          <w:szCs w:val="22"/>
        </w:rPr>
        <w:t>Законом</w:t>
      </w:r>
      <w:r>
        <w:rPr>
          <w:rFonts w:hint="default" w:cs="Calibri" w:asciiTheme="minorAscii" w:hAnsiTheme="minorAscii"/>
          <w:i w:val="0"/>
          <w:iCs w:val="0"/>
          <w:spacing w:val="-2"/>
          <w:sz w:val="22"/>
          <w:szCs w:val="22"/>
        </w:rPr>
        <w:t xml:space="preserve"> </w:t>
      </w:r>
      <w:r>
        <w:rPr>
          <w:rFonts w:hint="default" w:cs="Calibri" w:asciiTheme="minorAscii" w:hAnsiTheme="minorAscii"/>
          <w:i w:val="0"/>
          <w:iCs w:val="0"/>
          <w:sz w:val="22"/>
          <w:szCs w:val="22"/>
        </w:rPr>
        <w:t>уређена</w:t>
      </w:r>
      <w:r>
        <w:rPr>
          <w:rFonts w:hint="default" w:cs="Calibri" w:asciiTheme="minorAscii" w:hAnsiTheme="minorAscii"/>
          <w:i w:val="0"/>
          <w:iCs w:val="0"/>
          <w:spacing w:val="-2"/>
          <w:sz w:val="22"/>
          <w:szCs w:val="22"/>
        </w:rPr>
        <w:t xml:space="preserve"> </w:t>
      </w:r>
      <w:r>
        <w:rPr>
          <w:rFonts w:hint="default" w:cs="Calibri" w:asciiTheme="minorAscii" w:hAnsiTheme="minorAscii"/>
          <w:i w:val="0"/>
          <w:iCs w:val="0"/>
          <w:sz w:val="22"/>
          <w:szCs w:val="22"/>
        </w:rPr>
        <w:t>основица</w:t>
      </w:r>
      <w:r>
        <w:rPr>
          <w:rFonts w:hint="default" w:cs="Calibri" w:asciiTheme="minorAscii" w:hAnsiTheme="minorAscii"/>
          <w:i w:val="0"/>
          <w:iCs w:val="0"/>
          <w:spacing w:val="-2"/>
          <w:sz w:val="22"/>
          <w:szCs w:val="22"/>
        </w:rPr>
        <w:t xml:space="preserve"> </w:t>
      </w:r>
      <w:r>
        <w:rPr>
          <w:rFonts w:hint="default" w:cs="Calibri" w:asciiTheme="minorAscii" w:hAnsiTheme="minorAscii"/>
          <w:i w:val="0"/>
          <w:iCs w:val="0"/>
          <w:sz w:val="22"/>
          <w:szCs w:val="22"/>
        </w:rPr>
        <w:t>за</w:t>
      </w:r>
      <w:r>
        <w:rPr>
          <w:rFonts w:hint="default" w:cs="Calibri" w:asciiTheme="minorAscii" w:hAnsiTheme="minorAscii"/>
          <w:i w:val="0"/>
          <w:iCs w:val="0"/>
          <w:spacing w:val="-2"/>
          <w:sz w:val="22"/>
          <w:szCs w:val="22"/>
        </w:rPr>
        <w:t xml:space="preserve"> </w:t>
      </w:r>
      <w:r>
        <w:rPr>
          <w:rFonts w:hint="default" w:cs="Calibri" w:asciiTheme="minorAscii" w:hAnsiTheme="minorAscii"/>
          <w:i w:val="0"/>
          <w:iCs w:val="0"/>
          <w:sz w:val="22"/>
          <w:szCs w:val="22"/>
        </w:rPr>
        <w:t>обрачун</w:t>
      </w:r>
      <w:r>
        <w:rPr>
          <w:rFonts w:hint="default" w:cs="Calibri" w:asciiTheme="minorAscii" w:hAnsiTheme="minorAscii"/>
          <w:i w:val="0"/>
          <w:iCs w:val="0"/>
          <w:spacing w:val="-1"/>
          <w:sz w:val="22"/>
          <w:szCs w:val="22"/>
        </w:rPr>
        <w:t xml:space="preserve"> </w:t>
      </w:r>
      <w:r>
        <w:rPr>
          <w:rFonts w:hint="default" w:cs="Calibri" w:asciiTheme="minorAscii" w:hAnsiTheme="minorAscii"/>
          <w:i w:val="0"/>
          <w:iCs w:val="0"/>
          <w:spacing w:val="-4"/>
          <w:sz w:val="22"/>
          <w:szCs w:val="22"/>
        </w:rPr>
        <w:t>плата</w:t>
      </w:r>
    </w:p>
    <w:p w14:paraId="320C5684">
      <w:pPr>
        <w:pStyle w:val="6"/>
        <w:spacing w:line="259" w:lineRule="auto"/>
        <w:ind w:left="19" w:right="313" w:firstLine="720"/>
        <w:rPr>
          <w:rFonts w:hint="default" w:ascii="Calibri" w:hAnsi="Calibri" w:cs="Calibri"/>
        </w:rPr>
      </w:pPr>
      <w:r>
        <w:rPr>
          <w:rFonts w:hint="default" w:ascii="Calibri" w:hAnsi="Calibri" w:cs="Calibri"/>
        </w:rPr>
        <w:t>Приликом</w:t>
      </w:r>
      <w:r>
        <w:rPr>
          <w:rFonts w:hint="default" w:ascii="Calibri" w:hAnsi="Calibri" w:cs="Calibri"/>
          <w:spacing w:val="-5"/>
        </w:rPr>
        <w:t xml:space="preserve"> </w:t>
      </w:r>
      <w:r>
        <w:rPr>
          <w:rFonts w:hint="default" w:ascii="Calibri" w:hAnsi="Calibri" w:cs="Calibri"/>
        </w:rPr>
        <w:t>обрачуна</w:t>
      </w:r>
      <w:r>
        <w:rPr>
          <w:rFonts w:hint="default" w:ascii="Calibri" w:hAnsi="Calibri" w:cs="Calibri"/>
          <w:spacing w:val="-5"/>
        </w:rPr>
        <w:t xml:space="preserve"> </w:t>
      </w:r>
      <w:r>
        <w:rPr>
          <w:rFonts w:hint="default" w:ascii="Calibri" w:hAnsi="Calibri" w:cs="Calibri"/>
        </w:rPr>
        <w:t>и</w:t>
      </w:r>
      <w:r>
        <w:rPr>
          <w:rFonts w:hint="default" w:ascii="Calibri" w:hAnsi="Calibri" w:cs="Calibri"/>
          <w:spacing w:val="-4"/>
        </w:rPr>
        <w:t xml:space="preserve"> </w:t>
      </w:r>
      <w:r>
        <w:rPr>
          <w:rFonts w:hint="default" w:ascii="Calibri" w:hAnsi="Calibri" w:cs="Calibri"/>
        </w:rPr>
        <w:t>исплате</w:t>
      </w:r>
      <w:r>
        <w:rPr>
          <w:rFonts w:hint="default" w:ascii="Calibri" w:hAnsi="Calibri" w:cs="Calibri"/>
          <w:spacing w:val="-4"/>
        </w:rPr>
        <w:t xml:space="preserve"> </w:t>
      </w:r>
      <w:r>
        <w:rPr>
          <w:rFonts w:hint="default" w:ascii="Calibri" w:hAnsi="Calibri" w:cs="Calibri"/>
        </w:rPr>
        <w:t>плата</w:t>
      </w:r>
      <w:r>
        <w:rPr>
          <w:rFonts w:hint="default" w:ascii="Calibri" w:hAnsi="Calibri" w:cs="Calibri"/>
          <w:spacing w:val="-4"/>
        </w:rPr>
        <w:t xml:space="preserve"> </w:t>
      </w:r>
      <w:r>
        <w:rPr>
          <w:rFonts w:hint="default" w:ascii="Calibri" w:hAnsi="Calibri" w:cs="Calibri"/>
        </w:rPr>
        <w:t>запослених</w:t>
      </w:r>
      <w:r>
        <w:rPr>
          <w:rFonts w:hint="default" w:ascii="Calibri" w:hAnsi="Calibri" w:cs="Calibri"/>
          <w:spacing w:val="-2"/>
        </w:rPr>
        <w:t xml:space="preserve"> </w:t>
      </w:r>
      <w:r>
        <w:rPr>
          <w:rFonts w:hint="default" w:ascii="Calibri" w:hAnsi="Calibri" w:cs="Calibri"/>
        </w:rPr>
        <w:t>код</w:t>
      </w:r>
      <w:r>
        <w:rPr>
          <w:rFonts w:hint="default" w:ascii="Calibri" w:hAnsi="Calibri" w:cs="Calibri"/>
          <w:spacing w:val="-4"/>
        </w:rPr>
        <w:t xml:space="preserve"> </w:t>
      </w:r>
      <w:r>
        <w:rPr>
          <w:rFonts w:hint="default" w:ascii="Calibri" w:hAnsi="Calibri" w:cs="Calibri"/>
        </w:rPr>
        <w:t>корисника</w:t>
      </w:r>
      <w:r>
        <w:rPr>
          <w:rFonts w:hint="default" w:ascii="Calibri" w:hAnsi="Calibri" w:cs="Calibri"/>
          <w:spacing w:val="-5"/>
        </w:rPr>
        <w:t xml:space="preserve"> </w:t>
      </w:r>
      <w:r>
        <w:rPr>
          <w:rFonts w:hint="default" w:ascii="Calibri" w:hAnsi="Calibri" w:cs="Calibri"/>
        </w:rPr>
        <w:t>буџета</w:t>
      </w:r>
      <w:r>
        <w:rPr>
          <w:rFonts w:hint="default" w:ascii="Calibri" w:hAnsi="Calibri" w:cs="Calibri"/>
          <w:spacing w:val="-3"/>
        </w:rPr>
        <w:t xml:space="preserve"> </w:t>
      </w:r>
      <w:r>
        <w:rPr>
          <w:rFonts w:hint="default" w:ascii="Calibri" w:hAnsi="Calibri" w:cs="Calibri"/>
        </w:rPr>
        <w:t>локалне</w:t>
      </w:r>
      <w:r>
        <w:rPr>
          <w:rFonts w:hint="default" w:ascii="Calibri" w:hAnsi="Calibri" w:cs="Calibri"/>
          <w:spacing w:val="-5"/>
        </w:rPr>
        <w:t xml:space="preserve"> </w:t>
      </w:r>
      <w:r>
        <w:rPr>
          <w:rFonts w:hint="default" w:ascii="Calibri" w:hAnsi="Calibri" w:cs="Calibri"/>
        </w:rPr>
        <w:t>власти примењују се основице утврђене закључцима Владе Републике Србије.</w:t>
      </w:r>
    </w:p>
    <w:p w14:paraId="67BB836B">
      <w:pPr>
        <w:pStyle w:val="3"/>
        <w:spacing w:before="71" w:line="259" w:lineRule="auto"/>
        <w:ind w:firstLine="440" w:firstLineChars="200"/>
        <w:rPr>
          <w:rFonts w:hint="default" w:asciiTheme="minorAscii" w:hAnsiTheme="minorAscii"/>
          <w:i w:val="0"/>
          <w:iCs w:val="0"/>
          <w:sz w:val="22"/>
          <w:szCs w:val="22"/>
        </w:rPr>
      </w:pPr>
      <w:r>
        <w:rPr>
          <w:rFonts w:hint="default" w:asciiTheme="minorAscii" w:hAnsiTheme="minorAscii"/>
          <w:i w:val="0"/>
          <w:iCs w:val="0"/>
          <w:sz w:val="22"/>
          <w:szCs w:val="22"/>
        </w:rPr>
        <w:t>в) Планирање</w:t>
      </w:r>
      <w:r>
        <w:rPr>
          <w:rFonts w:hint="default" w:asciiTheme="minorAscii" w:hAnsiTheme="minorAscii"/>
          <w:i w:val="0"/>
          <w:iCs w:val="0"/>
          <w:spacing w:val="-4"/>
          <w:sz w:val="22"/>
          <w:szCs w:val="22"/>
        </w:rPr>
        <w:t xml:space="preserve"> </w:t>
      </w:r>
      <w:r>
        <w:rPr>
          <w:rFonts w:hint="default" w:asciiTheme="minorAscii" w:hAnsiTheme="minorAscii"/>
          <w:i w:val="0"/>
          <w:iCs w:val="0"/>
          <w:sz w:val="22"/>
          <w:szCs w:val="22"/>
        </w:rPr>
        <w:t>масе</w:t>
      </w:r>
      <w:r>
        <w:rPr>
          <w:rFonts w:hint="default" w:asciiTheme="minorAscii" w:hAnsiTheme="minorAscii"/>
          <w:i w:val="0"/>
          <w:iCs w:val="0"/>
          <w:spacing w:val="-4"/>
          <w:sz w:val="22"/>
          <w:szCs w:val="22"/>
        </w:rPr>
        <w:t xml:space="preserve"> </w:t>
      </w:r>
      <w:r>
        <w:rPr>
          <w:rFonts w:hint="default" w:asciiTheme="minorAscii" w:hAnsiTheme="minorAscii"/>
          <w:i w:val="0"/>
          <w:iCs w:val="0"/>
          <w:sz w:val="22"/>
          <w:szCs w:val="22"/>
        </w:rPr>
        <w:t>средстава</w:t>
      </w:r>
      <w:r>
        <w:rPr>
          <w:rFonts w:hint="default" w:asciiTheme="minorAscii" w:hAnsiTheme="minorAscii"/>
          <w:i w:val="0"/>
          <w:iCs w:val="0"/>
          <w:spacing w:val="-3"/>
          <w:sz w:val="22"/>
          <w:szCs w:val="22"/>
        </w:rPr>
        <w:t xml:space="preserve"> </w:t>
      </w:r>
      <w:r>
        <w:rPr>
          <w:rFonts w:hint="default" w:asciiTheme="minorAscii" w:hAnsiTheme="minorAscii"/>
          <w:i w:val="0"/>
          <w:iCs w:val="0"/>
          <w:sz w:val="22"/>
          <w:szCs w:val="22"/>
        </w:rPr>
        <w:t>за</w:t>
      </w:r>
      <w:r>
        <w:rPr>
          <w:rFonts w:hint="default" w:asciiTheme="minorAscii" w:hAnsiTheme="minorAscii"/>
          <w:i w:val="0"/>
          <w:iCs w:val="0"/>
          <w:spacing w:val="-1"/>
          <w:sz w:val="22"/>
          <w:szCs w:val="22"/>
        </w:rPr>
        <w:t xml:space="preserve"> </w:t>
      </w:r>
      <w:r>
        <w:rPr>
          <w:rFonts w:hint="default" w:asciiTheme="minorAscii" w:hAnsiTheme="minorAscii"/>
          <w:i w:val="0"/>
          <w:iCs w:val="0"/>
          <w:sz w:val="22"/>
          <w:szCs w:val="22"/>
        </w:rPr>
        <w:t>обрачун</w:t>
      </w:r>
      <w:r>
        <w:rPr>
          <w:rFonts w:hint="default" w:asciiTheme="minorAscii" w:hAnsiTheme="minorAscii"/>
          <w:i w:val="0"/>
          <w:iCs w:val="0"/>
          <w:spacing w:val="-3"/>
          <w:sz w:val="22"/>
          <w:szCs w:val="22"/>
        </w:rPr>
        <w:t xml:space="preserve"> </w:t>
      </w:r>
      <w:r>
        <w:rPr>
          <w:rFonts w:hint="default" w:asciiTheme="minorAscii" w:hAnsiTheme="minorAscii"/>
          <w:i w:val="0"/>
          <w:iCs w:val="0"/>
          <w:sz w:val="22"/>
          <w:szCs w:val="22"/>
        </w:rPr>
        <w:t>и</w:t>
      </w:r>
      <w:r>
        <w:rPr>
          <w:rFonts w:hint="default" w:asciiTheme="minorAscii" w:hAnsiTheme="minorAscii"/>
          <w:i w:val="0"/>
          <w:iCs w:val="0"/>
          <w:spacing w:val="-3"/>
          <w:sz w:val="22"/>
          <w:szCs w:val="22"/>
        </w:rPr>
        <w:t xml:space="preserve"> </w:t>
      </w:r>
      <w:r>
        <w:rPr>
          <w:rFonts w:hint="default" w:asciiTheme="minorAscii" w:hAnsiTheme="minorAscii"/>
          <w:i w:val="0"/>
          <w:iCs w:val="0"/>
          <w:sz w:val="22"/>
          <w:szCs w:val="22"/>
        </w:rPr>
        <w:t>исплату</w:t>
      </w:r>
      <w:r>
        <w:rPr>
          <w:rFonts w:hint="default" w:asciiTheme="minorAscii" w:hAnsiTheme="minorAscii"/>
          <w:i w:val="0"/>
          <w:iCs w:val="0"/>
          <w:spacing w:val="-3"/>
          <w:sz w:val="22"/>
          <w:szCs w:val="22"/>
        </w:rPr>
        <w:t xml:space="preserve"> </w:t>
      </w:r>
      <w:r>
        <w:rPr>
          <w:rFonts w:hint="default" w:asciiTheme="minorAscii" w:hAnsiTheme="minorAscii"/>
          <w:i w:val="0"/>
          <w:iCs w:val="0"/>
          <w:sz w:val="22"/>
          <w:szCs w:val="22"/>
        </w:rPr>
        <w:t>плата</w:t>
      </w:r>
      <w:r>
        <w:rPr>
          <w:rFonts w:hint="default" w:asciiTheme="minorAscii" w:hAnsiTheme="minorAscii"/>
          <w:i w:val="0"/>
          <w:iCs w:val="0"/>
          <w:spacing w:val="-3"/>
          <w:sz w:val="22"/>
          <w:szCs w:val="22"/>
        </w:rPr>
        <w:t xml:space="preserve"> </w:t>
      </w:r>
      <w:r>
        <w:rPr>
          <w:rFonts w:hint="default" w:asciiTheme="minorAscii" w:hAnsiTheme="minorAscii"/>
          <w:i w:val="0"/>
          <w:iCs w:val="0"/>
          <w:sz w:val="22"/>
          <w:szCs w:val="22"/>
        </w:rPr>
        <w:t>у</w:t>
      </w:r>
      <w:r>
        <w:rPr>
          <w:rFonts w:hint="default" w:asciiTheme="minorAscii" w:hAnsiTheme="minorAscii"/>
          <w:i w:val="0"/>
          <w:iCs w:val="0"/>
          <w:spacing w:val="-4"/>
          <w:sz w:val="22"/>
          <w:szCs w:val="22"/>
        </w:rPr>
        <w:t xml:space="preserve"> </w:t>
      </w:r>
      <w:r>
        <w:rPr>
          <w:rFonts w:hint="default" w:asciiTheme="minorAscii" w:hAnsiTheme="minorAscii"/>
          <w:i w:val="0"/>
          <w:iCs w:val="0"/>
          <w:sz w:val="22"/>
          <w:szCs w:val="22"/>
        </w:rPr>
        <w:t>одлукама</w:t>
      </w:r>
      <w:r>
        <w:rPr>
          <w:rFonts w:hint="default" w:asciiTheme="minorAscii" w:hAnsiTheme="minorAscii"/>
          <w:i w:val="0"/>
          <w:iCs w:val="0"/>
          <w:spacing w:val="-3"/>
          <w:sz w:val="22"/>
          <w:szCs w:val="22"/>
        </w:rPr>
        <w:t xml:space="preserve"> </w:t>
      </w:r>
      <w:r>
        <w:rPr>
          <w:rFonts w:hint="default" w:asciiTheme="minorAscii" w:hAnsiTheme="minorAscii"/>
          <w:i w:val="0"/>
          <w:iCs w:val="0"/>
          <w:sz w:val="22"/>
          <w:szCs w:val="22"/>
        </w:rPr>
        <w:t>о</w:t>
      </w:r>
      <w:r>
        <w:rPr>
          <w:rFonts w:hint="default" w:asciiTheme="minorAscii" w:hAnsiTheme="minorAscii"/>
          <w:i w:val="0"/>
          <w:iCs w:val="0"/>
          <w:spacing w:val="-3"/>
          <w:sz w:val="22"/>
          <w:szCs w:val="22"/>
        </w:rPr>
        <w:t xml:space="preserve"> </w:t>
      </w:r>
      <w:r>
        <w:rPr>
          <w:rFonts w:hint="default" w:asciiTheme="minorAscii" w:hAnsiTheme="minorAscii"/>
          <w:i w:val="0"/>
          <w:iCs w:val="0"/>
          <w:sz w:val="22"/>
          <w:szCs w:val="22"/>
        </w:rPr>
        <w:t>буџету</w:t>
      </w:r>
      <w:r>
        <w:rPr>
          <w:rFonts w:hint="default" w:asciiTheme="minorAscii" w:hAnsiTheme="minorAscii"/>
          <w:i w:val="0"/>
          <w:iCs w:val="0"/>
          <w:spacing w:val="-4"/>
          <w:sz w:val="22"/>
          <w:szCs w:val="22"/>
        </w:rPr>
        <w:t xml:space="preserve"> </w:t>
      </w:r>
      <w:r>
        <w:rPr>
          <w:rFonts w:hint="default" w:asciiTheme="minorAscii" w:hAnsiTheme="minorAscii"/>
          <w:i w:val="0"/>
          <w:iCs w:val="0"/>
          <w:sz w:val="22"/>
          <w:szCs w:val="22"/>
        </w:rPr>
        <w:t>за 2026. годину</w:t>
      </w:r>
    </w:p>
    <w:p w14:paraId="13D5E65A">
      <w:pPr>
        <w:pStyle w:val="6"/>
        <w:spacing w:line="259" w:lineRule="auto"/>
        <w:ind w:left="19" w:right="223" w:firstLine="720"/>
        <w:rPr>
          <w:sz w:val="22"/>
          <w:szCs w:val="22"/>
        </w:rPr>
      </w:pPr>
      <w:r>
        <w:rPr>
          <w:sz w:val="22"/>
          <w:szCs w:val="22"/>
        </w:rPr>
        <w:t>Локална власт у</w:t>
      </w:r>
      <w:r>
        <w:rPr>
          <w:spacing w:val="-4"/>
          <w:sz w:val="22"/>
          <w:szCs w:val="22"/>
        </w:rPr>
        <w:t xml:space="preserve"> </w:t>
      </w:r>
      <w:r>
        <w:rPr>
          <w:sz w:val="22"/>
          <w:szCs w:val="22"/>
        </w:rPr>
        <w:t>2026. години планира укупна средства потребна за обрачун и исплату плата запослених које се финансирају из буџета локалне власти, тако да масу средстава за исплату</w:t>
      </w:r>
      <w:r>
        <w:rPr>
          <w:spacing w:val="-12"/>
          <w:sz w:val="22"/>
          <w:szCs w:val="22"/>
        </w:rPr>
        <w:t xml:space="preserve"> </w:t>
      </w:r>
      <w:r>
        <w:rPr>
          <w:sz w:val="22"/>
          <w:szCs w:val="22"/>
        </w:rPr>
        <w:t>дванаест</w:t>
      </w:r>
      <w:r>
        <w:rPr>
          <w:spacing w:val="-5"/>
          <w:sz w:val="22"/>
          <w:szCs w:val="22"/>
        </w:rPr>
        <w:t xml:space="preserve"> </w:t>
      </w:r>
      <w:r>
        <w:rPr>
          <w:sz w:val="22"/>
          <w:szCs w:val="22"/>
        </w:rPr>
        <w:t>месечних</w:t>
      </w:r>
      <w:r>
        <w:rPr>
          <w:spacing w:val="-6"/>
          <w:sz w:val="22"/>
          <w:szCs w:val="22"/>
        </w:rPr>
        <w:t xml:space="preserve"> </w:t>
      </w:r>
      <w:r>
        <w:rPr>
          <w:sz w:val="22"/>
          <w:szCs w:val="22"/>
        </w:rPr>
        <w:t>плата</w:t>
      </w:r>
      <w:r>
        <w:rPr>
          <w:spacing w:val="-6"/>
          <w:sz w:val="22"/>
          <w:szCs w:val="22"/>
        </w:rPr>
        <w:t xml:space="preserve"> </w:t>
      </w:r>
      <w:r>
        <w:rPr>
          <w:sz w:val="22"/>
          <w:szCs w:val="22"/>
        </w:rPr>
        <w:t>планирају</w:t>
      </w:r>
      <w:r>
        <w:rPr>
          <w:spacing w:val="-12"/>
          <w:sz w:val="22"/>
          <w:szCs w:val="22"/>
        </w:rPr>
        <w:t xml:space="preserve"> </w:t>
      </w:r>
      <w:r>
        <w:rPr>
          <w:sz w:val="22"/>
          <w:szCs w:val="22"/>
        </w:rPr>
        <w:t>полазећи</w:t>
      </w:r>
      <w:r>
        <w:rPr>
          <w:spacing w:val="-5"/>
          <w:sz w:val="22"/>
          <w:szCs w:val="22"/>
        </w:rPr>
        <w:t xml:space="preserve"> </w:t>
      </w:r>
      <w:r>
        <w:rPr>
          <w:sz w:val="22"/>
          <w:szCs w:val="22"/>
        </w:rPr>
        <w:t>од</w:t>
      </w:r>
      <w:r>
        <w:rPr>
          <w:spacing w:val="-6"/>
          <w:sz w:val="22"/>
          <w:szCs w:val="22"/>
        </w:rPr>
        <w:t xml:space="preserve"> </w:t>
      </w:r>
      <w:r>
        <w:rPr>
          <w:sz w:val="22"/>
          <w:szCs w:val="22"/>
        </w:rPr>
        <w:t>нивоа</w:t>
      </w:r>
      <w:r>
        <w:rPr>
          <w:spacing w:val="-7"/>
          <w:sz w:val="22"/>
          <w:szCs w:val="22"/>
        </w:rPr>
        <w:t xml:space="preserve"> </w:t>
      </w:r>
      <w:r>
        <w:rPr>
          <w:sz w:val="22"/>
          <w:szCs w:val="22"/>
        </w:rPr>
        <w:t>плата</w:t>
      </w:r>
      <w:r>
        <w:rPr>
          <w:spacing w:val="-6"/>
          <w:sz w:val="22"/>
          <w:szCs w:val="22"/>
        </w:rPr>
        <w:t xml:space="preserve"> </w:t>
      </w:r>
      <w:r>
        <w:rPr>
          <w:sz w:val="22"/>
          <w:szCs w:val="22"/>
        </w:rPr>
        <w:t>исплаћених</w:t>
      </w:r>
      <w:r>
        <w:rPr>
          <w:spacing w:val="-6"/>
          <w:sz w:val="22"/>
          <w:szCs w:val="22"/>
        </w:rPr>
        <w:t xml:space="preserve"> </w:t>
      </w:r>
      <w:r>
        <w:rPr>
          <w:sz w:val="22"/>
          <w:szCs w:val="22"/>
        </w:rPr>
        <w:t>за септембар 2025. године, уз могућност увећања плата у складу са законом којим се уређује буџет.</w:t>
      </w:r>
    </w:p>
    <w:p w14:paraId="6286455D">
      <w:pPr>
        <w:pStyle w:val="6"/>
        <w:spacing w:before="20" w:line="259" w:lineRule="auto"/>
        <w:ind w:left="19" w:right="224" w:firstLine="720"/>
        <w:rPr>
          <w:sz w:val="22"/>
          <w:szCs w:val="22"/>
        </w:rPr>
      </w:pPr>
      <w:r>
        <w:rPr>
          <w:sz w:val="22"/>
          <w:szCs w:val="22"/>
        </w:rPr>
        <w:t>Приликом</w:t>
      </w:r>
      <w:r>
        <w:rPr>
          <w:spacing w:val="-15"/>
          <w:sz w:val="22"/>
          <w:szCs w:val="22"/>
        </w:rPr>
        <w:t xml:space="preserve"> </w:t>
      </w:r>
      <w:r>
        <w:rPr>
          <w:sz w:val="22"/>
          <w:szCs w:val="22"/>
        </w:rPr>
        <w:t>планирања</w:t>
      </w:r>
      <w:r>
        <w:rPr>
          <w:spacing w:val="-15"/>
          <w:sz w:val="22"/>
          <w:szCs w:val="22"/>
        </w:rPr>
        <w:t xml:space="preserve"> </w:t>
      </w:r>
      <w:r>
        <w:rPr>
          <w:sz w:val="22"/>
          <w:szCs w:val="22"/>
        </w:rPr>
        <w:t>укупне</w:t>
      </w:r>
      <w:r>
        <w:rPr>
          <w:spacing w:val="-15"/>
          <w:sz w:val="22"/>
          <w:szCs w:val="22"/>
        </w:rPr>
        <w:t xml:space="preserve"> </w:t>
      </w:r>
      <w:r>
        <w:rPr>
          <w:sz w:val="22"/>
          <w:szCs w:val="22"/>
        </w:rPr>
        <w:t>масе</w:t>
      </w:r>
      <w:r>
        <w:rPr>
          <w:spacing w:val="-15"/>
          <w:sz w:val="22"/>
          <w:szCs w:val="22"/>
        </w:rPr>
        <w:t xml:space="preserve"> </w:t>
      </w:r>
      <w:r>
        <w:rPr>
          <w:sz w:val="22"/>
          <w:szCs w:val="22"/>
        </w:rPr>
        <w:t>средстава</w:t>
      </w:r>
      <w:r>
        <w:rPr>
          <w:spacing w:val="-15"/>
          <w:sz w:val="22"/>
          <w:szCs w:val="22"/>
        </w:rPr>
        <w:t xml:space="preserve"> </w:t>
      </w:r>
      <w:r>
        <w:rPr>
          <w:sz w:val="22"/>
          <w:szCs w:val="22"/>
        </w:rPr>
        <w:t>за</w:t>
      </w:r>
      <w:r>
        <w:rPr>
          <w:spacing w:val="-13"/>
          <w:sz w:val="22"/>
          <w:szCs w:val="22"/>
        </w:rPr>
        <w:t xml:space="preserve"> </w:t>
      </w:r>
      <w:r>
        <w:rPr>
          <w:sz w:val="22"/>
          <w:szCs w:val="22"/>
        </w:rPr>
        <w:t>плате</w:t>
      </w:r>
      <w:r>
        <w:rPr>
          <w:spacing w:val="-13"/>
          <w:sz w:val="22"/>
          <w:szCs w:val="22"/>
        </w:rPr>
        <w:t xml:space="preserve"> </w:t>
      </w:r>
      <w:r>
        <w:rPr>
          <w:sz w:val="22"/>
          <w:szCs w:val="22"/>
        </w:rPr>
        <w:t>у</w:t>
      </w:r>
      <w:r>
        <w:rPr>
          <w:spacing w:val="-15"/>
          <w:sz w:val="22"/>
          <w:szCs w:val="22"/>
        </w:rPr>
        <w:t xml:space="preserve"> </w:t>
      </w:r>
      <w:r>
        <w:rPr>
          <w:sz w:val="22"/>
          <w:szCs w:val="22"/>
        </w:rPr>
        <w:t>буџету</w:t>
      </w:r>
      <w:r>
        <w:rPr>
          <w:spacing w:val="-15"/>
          <w:sz w:val="22"/>
          <w:szCs w:val="22"/>
        </w:rPr>
        <w:t xml:space="preserve"> </w:t>
      </w:r>
      <w:r>
        <w:rPr>
          <w:sz w:val="22"/>
          <w:szCs w:val="22"/>
        </w:rPr>
        <w:t>јединице</w:t>
      </w:r>
      <w:r>
        <w:rPr>
          <w:spacing w:val="-15"/>
          <w:sz w:val="22"/>
          <w:szCs w:val="22"/>
        </w:rPr>
        <w:t xml:space="preserve"> </w:t>
      </w:r>
      <w:r>
        <w:rPr>
          <w:sz w:val="22"/>
          <w:szCs w:val="22"/>
        </w:rPr>
        <w:t>локалне</w:t>
      </w:r>
      <w:r>
        <w:rPr>
          <w:spacing w:val="-15"/>
          <w:sz w:val="22"/>
          <w:szCs w:val="22"/>
        </w:rPr>
        <w:t xml:space="preserve"> </w:t>
      </w:r>
      <w:r>
        <w:rPr>
          <w:sz w:val="22"/>
          <w:szCs w:val="22"/>
        </w:rPr>
        <w:t>власти, евентуална индексација, предвиђена законом којим се уређује буџет, примењује се на 11 месечних плата у години, а имајући у виду рокове за исплату плата који су дефинисани посебним колективним уговорима, као и да би иста била могућа почев од обрачуна и исплате плате за јануар 2026. године.</w:t>
      </w:r>
    </w:p>
    <w:p w14:paraId="5D73DDF3">
      <w:pPr>
        <w:pStyle w:val="6"/>
        <w:spacing w:before="17" w:line="259" w:lineRule="auto"/>
        <w:ind w:left="28" w:right="223" w:firstLine="698"/>
        <w:rPr>
          <w:sz w:val="22"/>
          <w:szCs w:val="22"/>
        </w:rPr>
      </w:pPr>
      <w:r>
        <w:rPr>
          <w:sz w:val="22"/>
          <w:szCs w:val="22"/>
        </w:rPr>
        <w:t>Математички исказано, маса за плате код свих буџетских корисника се утврђује на следећи начин:</w:t>
      </w:r>
    </w:p>
    <w:p w14:paraId="4AD87C77">
      <w:pPr>
        <w:pStyle w:val="6"/>
        <w:spacing w:before="134"/>
        <w:jc w:val="left"/>
      </w:pPr>
      <w:r>
        <w:rPr>
          <w:sz w:val="22"/>
          <w:szCs w:val="22"/>
        </w:rPr>
        <mc:AlternateContent>
          <mc:Choice Requires="wpg">
            <w:drawing>
              <wp:anchor distT="0" distB="0" distL="0" distR="0" simplePos="0" relativeHeight="251659264" behindDoc="1" locked="0" layoutInCell="1" allowOverlap="1">
                <wp:simplePos x="0" y="0"/>
                <wp:positionH relativeFrom="page">
                  <wp:posOffset>724535</wp:posOffset>
                </wp:positionH>
                <wp:positionV relativeFrom="paragraph">
                  <wp:posOffset>246380</wp:posOffset>
                </wp:positionV>
                <wp:extent cx="6138545" cy="589915"/>
                <wp:effectExtent l="0" t="0" r="14605" b="635"/>
                <wp:wrapTopAndBottom/>
                <wp:docPr id="2" name="Group 2"/>
                <wp:cNvGraphicFramePr/>
                <a:graphic xmlns:a="http://schemas.openxmlformats.org/drawingml/2006/main">
                  <a:graphicData uri="http://schemas.microsoft.com/office/word/2010/wordprocessingGroup">
                    <wpg:wgp>
                      <wpg:cNvGrpSpPr/>
                      <wpg:grpSpPr>
                        <a:xfrm>
                          <a:off x="0" y="0"/>
                          <a:ext cx="6138545" cy="589915"/>
                          <a:chOff x="0" y="0"/>
                          <a:chExt cx="6138545" cy="589915"/>
                        </a:xfrm>
                      </wpg:grpSpPr>
                      <wps:wsp>
                        <wps:cNvPr id="3" name="Graphic 3"/>
                        <wps:cNvSpPr/>
                        <wps:spPr>
                          <a:xfrm>
                            <a:off x="6350" y="6350"/>
                            <a:ext cx="6125845" cy="577215"/>
                          </a:xfrm>
                          <a:custGeom>
                            <a:avLst/>
                            <a:gdLst/>
                            <a:ahLst/>
                            <a:cxnLst/>
                            <a:rect l="l" t="t" r="r" b="b"/>
                            <a:pathLst>
                              <a:path w="6125845" h="577215">
                                <a:moveTo>
                                  <a:pt x="0" y="96265"/>
                                </a:moveTo>
                                <a:lnTo>
                                  <a:pt x="7561" y="58775"/>
                                </a:lnTo>
                                <a:lnTo>
                                  <a:pt x="28179" y="28178"/>
                                </a:lnTo>
                                <a:lnTo>
                                  <a:pt x="58759" y="7558"/>
                                </a:lnTo>
                                <a:lnTo>
                                  <a:pt x="96202" y="0"/>
                                </a:lnTo>
                                <a:lnTo>
                                  <a:pt x="6029706" y="0"/>
                                </a:lnTo>
                                <a:lnTo>
                                  <a:pt x="6067123" y="7558"/>
                                </a:lnTo>
                                <a:lnTo>
                                  <a:pt x="6097682" y="28178"/>
                                </a:lnTo>
                                <a:lnTo>
                                  <a:pt x="6118288" y="58775"/>
                                </a:lnTo>
                                <a:lnTo>
                                  <a:pt x="6125845" y="96265"/>
                                </a:lnTo>
                                <a:lnTo>
                                  <a:pt x="6125845" y="481075"/>
                                </a:lnTo>
                                <a:lnTo>
                                  <a:pt x="6118288" y="518493"/>
                                </a:lnTo>
                                <a:lnTo>
                                  <a:pt x="6097682" y="549052"/>
                                </a:lnTo>
                                <a:lnTo>
                                  <a:pt x="6067123" y="569658"/>
                                </a:lnTo>
                                <a:lnTo>
                                  <a:pt x="6029706" y="577214"/>
                                </a:lnTo>
                                <a:lnTo>
                                  <a:pt x="96202" y="577214"/>
                                </a:lnTo>
                                <a:lnTo>
                                  <a:pt x="58759" y="569658"/>
                                </a:lnTo>
                                <a:lnTo>
                                  <a:pt x="28179" y="549052"/>
                                </a:lnTo>
                                <a:lnTo>
                                  <a:pt x="7561" y="518493"/>
                                </a:lnTo>
                                <a:lnTo>
                                  <a:pt x="0" y="481075"/>
                                </a:lnTo>
                                <a:lnTo>
                                  <a:pt x="0" y="96265"/>
                                </a:lnTo>
                                <a:close/>
                              </a:path>
                            </a:pathLst>
                          </a:custGeom>
                          <a:ln w="12700">
                            <a:solidFill>
                              <a:srgbClr val="000000"/>
                            </a:solidFill>
                            <a:prstDash val="solid"/>
                          </a:ln>
                        </wps:spPr>
                        <wps:bodyPr wrap="square" lIns="0" tIns="0" rIns="0" bIns="0" rtlCol="0">
                          <a:noAutofit/>
                        </wps:bodyPr>
                      </wps:wsp>
                      <wps:wsp>
                        <wps:cNvPr id="4" name="Textbox 4"/>
                        <wps:cNvSpPr txBox="1"/>
                        <wps:spPr>
                          <a:xfrm>
                            <a:off x="0" y="0"/>
                            <a:ext cx="6138545" cy="589915"/>
                          </a:xfrm>
                          <a:prstGeom prst="rect">
                            <a:avLst/>
                          </a:prstGeom>
                        </wps:spPr>
                        <wps:txbx>
                          <w:txbxContent>
                            <w:p w14:paraId="3D26C78D">
                              <w:pPr>
                                <w:spacing w:before="131" w:line="266" w:lineRule="auto"/>
                                <w:ind w:left="2477" w:right="206" w:hanging="2268"/>
                                <w:jc w:val="left"/>
                                <w:rPr>
                                  <w:sz w:val="20"/>
                                </w:rPr>
                              </w:pPr>
                              <w:r>
                                <w:rPr>
                                  <w:sz w:val="20"/>
                                </w:rPr>
                                <w:t>Укупна маса за плате = маса средстава исплаћена за септембар 2025. године + маса средстава исплаћена за септембар 2025. године * прописани % увећања плата * 11 месеци</w:t>
                              </w:r>
                            </w:p>
                          </w:txbxContent>
                        </wps:txbx>
                        <wps:bodyPr wrap="square" lIns="0" tIns="0" rIns="0" bIns="0" rtlCol="0">
                          <a:noAutofit/>
                        </wps:bodyPr>
                      </wps:wsp>
                    </wpg:wgp>
                  </a:graphicData>
                </a:graphic>
              </wp:anchor>
            </w:drawing>
          </mc:Choice>
          <mc:Fallback>
            <w:pict>
              <v:group id="_x0000_s1026" o:spid="_x0000_s1026" o:spt="203" style="position:absolute;left:0pt;margin-left:57.05pt;margin-top:19.4pt;height:46.45pt;width:483.35pt;mso-position-horizontal-relative:page;mso-wrap-distance-bottom:0pt;mso-wrap-distance-top:0pt;z-index:-251657216;mso-width-relative:page;mso-height-relative:page;" coordsize="6138545,589915" o:gfxdata="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">
                <o:lock v:ext="edit" aspectratio="f"/>
                <v:shape id="Graphic 3" o:spid="_x0000_s1026" o:spt="100" style="position:absolute;left:6350;top:6350;height:577215;width:6125845;" filled="f" stroked="t" coordsize="6125845,577215" o:gfxdata="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jX6q28AAAA&#10;2gAAAA8AAAAAAAAAAQAgAAAAIgAAAGRycy9kb3ducmV2LnhtbFBLAQIUABQAAAAIAIdO4kAzLwWe&#10;OwAAADkAAAAQAAAAAAAAAAEAIAAAAAsBAABkcnMvc2hhcGV4bWwueG1sUEsFBgAAAAAGAAYAWwEA&#10;ALUDAAAAAA==&#10;" path="m0,96265l7561,58775,28179,28178,58759,7558,96202,0,6029706,0,6067123,7558,6097682,28178,6118288,58775,6125845,96265,6125845,481075,6118288,518493,6097682,549052,6067123,569658,6029706,577214,96202,577214,58759,569658,28179,549052,7561,518493,0,481075,0,96265xe">
                  <v:fill on="f" focussize="0,0"/>
                  <v:stroke weight="1pt" color="#000000" joinstyle="round"/>
                  <v:imagedata o:title=""/>
                  <o:lock v:ext="edit" aspectratio="f"/>
                  <v:textbox inset="0mm,0mm,0mm,0mm"/>
                </v:shape>
                <v:shape id="Textbox 4" o:spid="_x0000_s1026" o:spt="202" type="#_x0000_t202" style="position:absolute;left:0;top:0;height:589915;width:6138545;" filled="f" stroked="f" coordsize="21600,21600" o:gfxdata="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xAGDn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3D26C78D">
                        <w:pPr>
                          <w:spacing w:before="131" w:line="266" w:lineRule="auto"/>
                          <w:ind w:left="2477" w:right="206" w:hanging="2268"/>
                          <w:jc w:val="left"/>
                          <w:rPr>
                            <w:sz w:val="20"/>
                          </w:rPr>
                        </w:pPr>
                        <w:r>
                          <w:rPr>
                            <w:sz w:val="20"/>
                          </w:rPr>
                          <w:t>Укупна маса за плате = маса средстава исплаћена за септембар 2025. године + маса средстава исплаћена за септембар 2025. године * прописани % увећања плата * 11 месеци</w:t>
                        </w:r>
                      </w:p>
                    </w:txbxContent>
                  </v:textbox>
                </v:shape>
                <w10:wrap type="topAndBottom"/>
              </v:group>
            </w:pict>
          </mc:Fallback>
        </mc:AlternateContent>
      </w:r>
    </w:p>
    <w:p w14:paraId="7ED0F4A9">
      <w:pPr>
        <w:pStyle w:val="6"/>
        <w:spacing w:line="271" w:lineRule="auto"/>
        <w:ind w:left="19" w:right="291" w:firstLine="720"/>
      </w:pPr>
      <w:r>
        <w:t>Уколико</w:t>
      </w:r>
      <w:r>
        <w:rPr>
          <w:spacing w:val="-8"/>
        </w:rPr>
        <w:t xml:space="preserve"> </w:t>
      </w:r>
      <w:r>
        <w:t>маса</w:t>
      </w:r>
      <w:r>
        <w:rPr>
          <w:spacing w:val="-9"/>
        </w:rPr>
        <w:t xml:space="preserve"> </w:t>
      </w:r>
      <w:r>
        <w:t>средстава</w:t>
      </w:r>
      <w:r>
        <w:rPr>
          <w:spacing w:val="-9"/>
        </w:rPr>
        <w:t xml:space="preserve"> </w:t>
      </w:r>
      <w:r>
        <w:t>која</w:t>
      </w:r>
      <w:r>
        <w:rPr>
          <w:spacing w:val="-9"/>
        </w:rPr>
        <w:t xml:space="preserve"> </w:t>
      </w:r>
      <w:r>
        <w:t>је</w:t>
      </w:r>
      <w:r>
        <w:rPr>
          <w:spacing w:val="-3"/>
        </w:rPr>
        <w:t xml:space="preserve"> </w:t>
      </w:r>
      <w:r>
        <w:t>утврђена</w:t>
      </w:r>
      <w:r>
        <w:rPr>
          <w:spacing w:val="-9"/>
        </w:rPr>
        <w:t xml:space="preserve"> </w:t>
      </w:r>
      <w:r>
        <w:t>на</w:t>
      </w:r>
      <w:r>
        <w:rPr>
          <w:spacing w:val="-9"/>
        </w:rPr>
        <w:t xml:space="preserve"> </w:t>
      </w:r>
      <w:r>
        <w:t>претходно</w:t>
      </w:r>
      <w:r>
        <w:rPr>
          <w:spacing w:val="-11"/>
        </w:rPr>
        <w:t xml:space="preserve"> </w:t>
      </w:r>
      <w:r>
        <w:t>наведени</w:t>
      </w:r>
      <w:r>
        <w:rPr>
          <w:spacing w:val="-7"/>
        </w:rPr>
        <w:t xml:space="preserve"> </w:t>
      </w:r>
      <w:r>
        <w:t>начин</w:t>
      </w:r>
      <w:r>
        <w:rPr>
          <w:spacing w:val="-7"/>
        </w:rPr>
        <w:t xml:space="preserve"> </w:t>
      </w:r>
      <w:r>
        <w:t>није</w:t>
      </w:r>
      <w:r>
        <w:rPr>
          <w:spacing w:val="-9"/>
        </w:rPr>
        <w:t xml:space="preserve"> </w:t>
      </w:r>
      <w:r>
        <w:t>довољна</w:t>
      </w:r>
      <w:r>
        <w:rPr>
          <w:spacing w:val="-9"/>
        </w:rPr>
        <w:t xml:space="preserve"> </w:t>
      </w:r>
      <w:r>
        <w:t>за обрачун и исплату плата запослених код корисника буџета локалне власти, иста се може увећати у току 2026. године, а након претходно добијене писане сагласности министарства надлежног за послове финансија.</w:t>
      </w:r>
    </w:p>
    <w:p w14:paraId="35FD4D07">
      <w:pPr>
        <w:pStyle w:val="6"/>
        <w:spacing w:line="271" w:lineRule="auto"/>
        <w:ind w:left="19" w:right="283" w:firstLine="720"/>
      </w:pPr>
      <w:r>
        <w:t>На основу горе наведене формуле средства за плате се планирају на бази броја запослених</w:t>
      </w:r>
      <w:r>
        <w:rPr>
          <w:spacing w:val="-4"/>
        </w:rPr>
        <w:t xml:space="preserve"> </w:t>
      </w:r>
      <w:r>
        <w:t>којима</w:t>
      </w:r>
      <w:r>
        <w:rPr>
          <w:spacing w:val="-4"/>
        </w:rPr>
        <w:t xml:space="preserve"> </w:t>
      </w:r>
      <w:r>
        <w:t>је</w:t>
      </w:r>
      <w:r>
        <w:rPr>
          <w:spacing w:val="-4"/>
        </w:rPr>
        <w:t xml:space="preserve"> </w:t>
      </w:r>
      <w:r>
        <w:t>исплаћена</w:t>
      </w:r>
      <w:r>
        <w:rPr>
          <w:spacing w:val="-4"/>
        </w:rPr>
        <w:t xml:space="preserve"> </w:t>
      </w:r>
      <w:r>
        <w:t>плата</w:t>
      </w:r>
      <w:r>
        <w:rPr>
          <w:spacing w:val="-3"/>
        </w:rPr>
        <w:t xml:space="preserve"> </w:t>
      </w:r>
      <w:r>
        <w:t>за</w:t>
      </w:r>
      <w:r>
        <w:rPr>
          <w:spacing w:val="-4"/>
        </w:rPr>
        <w:t xml:space="preserve"> </w:t>
      </w:r>
      <w:r>
        <w:t>септембар</w:t>
      </w:r>
      <w:r>
        <w:rPr>
          <w:spacing w:val="-3"/>
        </w:rPr>
        <w:t xml:space="preserve"> </w:t>
      </w:r>
      <w:r>
        <w:t>2025.</w:t>
      </w:r>
      <w:r>
        <w:rPr>
          <w:spacing w:val="-3"/>
        </w:rPr>
        <w:t xml:space="preserve"> </w:t>
      </w:r>
      <w:r>
        <w:t>године,</w:t>
      </w:r>
      <w:r>
        <w:rPr>
          <w:spacing w:val="-3"/>
        </w:rPr>
        <w:t xml:space="preserve"> </w:t>
      </w:r>
      <w:r>
        <w:t>а</w:t>
      </w:r>
      <w:r>
        <w:rPr>
          <w:spacing w:val="-4"/>
        </w:rPr>
        <w:t xml:space="preserve"> </w:t>
      </w:r>
      <w:r>
        <w:t>не</w:t>
      </w:r>
      <w:r>
        <w:rPr>
          <w:spacing w:val="-7"/>
        </w:rPr>
        <w:t xml:space="preserve"> </w:t>
      </w:r>
      <w:r>
        <w:t>систематизованог</w:t>
      </w:r>
      <w:r>
        <w:rPr>
          <w:spacing w:val="-4"/>
        </w:rPr>
        <w:t xml:space="preserve"> </w:t>
      </w:r>
      <w:r>
        <w:t xml:space="preserve">броја </w:t>
      </w:r>
      <w:r>
        <w:rPr>
          <w:spacing w:val="-2"/>
        </w:rPr>
        <w:t>запослених.</w:t>
      </w:r>
    </w:p>
    <w:p w14:paraId="41686578">
      <w:pPr>
        <w:pStyle w:val="6"/>
        <w:spacing w:line="266" w:lineRule="auto"/>
        <w:ind w:left="122" w:right="288" w:firstLine="616"/>
      </w:pPr>
      <w:r>
        <w:t>Уколико локална власт не планира у својим одлукама о буџету за 2026. годину и не извршава укупна средства за обрачун и исплату плата на начин како је наведено, министар надлежан</w:t>
      </w:r>
      <w:r>
        <w:rPr>
          <w:spacing w:val="-7"/>
        </w:rPr>
        <w:t xml:space="preserve"> </w:t>
      </w:r>
      <w:r>
        <w:t>за</w:t>
      </w:r>
      <w:r>
        <w:rPr>
          <w:spacing w:val="-9"/>
        </w:rPr>
        <w:t xml:space="preserve"> </w:t>
      </w:r>
      <w:r>
        <w:t>послове</w:t>
      </w:r>
      <w:r>
        <w:rPr>
          <w:spacing w:val="-9"/>
        </w:rPr>
        <w:t xml:space="preserve"> </w:t>
      </w:r>
      <w:r>
        <w:t>финансија</w:t>
      </w:r>
      <w:r>
        <w:rPr>
          <w:spacing w:val="-9"/>
        </w:rPr>
        <w:t xml:space="preserve"> </w:t>
      </w:r>
      <w:r>
        <w:t>може</w:t>
      </w:r>
      <w:r>
        <w:rPr>
          <w:spacing w:val="-9"/>
        </w:rPr>
        <w:t xml:space="preserve"> </w:t>
      </w:r>
      <w:r>
        <w:t>привремено</w:t>
      </w:r>
      <w:r>
        <w:rPr>
          <w:spacing w:val="-8"/>
        </w:rPr>
        <w:t xml:space="preserve"> </w:t>
      </w:r>
      <w:r>
        <w:t>обуставити</w:t>
      </w:r>
      <w:r>
        <w:rPr>
          <w:spacing w:val="-7"/>
        </w:rPr>
        <w:t xml:space="preserve"> </w:t>
      </w:r>
      <w:r>
        <w:t>пренос</w:t>
      </w:r>
      <w:r>
        <w:rPr>
          <w:spacing w:val="-9"/>
        </w:rPr>
        <w:t xml:space="preserve"> </w:t>
      </w:r>
      <w:r>
        <w:t>трансферних</w:t>
      </w:r>
      <w:r>
        <w:rPr>
          <w:spacing w:val="-6"/>
        </w:rPr>
        <w:t xml:space="preserve"> </w:t>
      </w:r>
      <w:r>
        <w:t>средстава из буџета Републике Србије, односно припадајућег дела пореза на зараде и пореза на добит правних лица, док се висина средстава за плате не усклади са наведеним ограничењем.</w:t>
      </w:r>
    </w:p>
    <w:p w14:paraId="04553BC3">
      <w:pPr>
        <w:pStyle w:val="6"/>
        <w:spacing w:before="13" w:line="266" w:lineRule="auto"/>
        <w:ind w:left="161" w:right="286" w:firstLine="578"/>
      </w:pPr>
      <w:r>
        <w:t>Као</w:t>
      </w:r>
      <w:r>
        <w:rPr>
          <w:spacing w:val="-2"/>
        </w:rPr>
        <w:t xml:space="preserve"> </w:t>
      </w:r>
      <w:r>
        <w:t>и у</w:t>
      </w:r>
      <w:r>
        <w:rPr>
          <w:spacing w:val="-7"/>
        </w:rPr>
        <w:t xml:space="preserve"> </w:t>
      </w:r>
      <w:r>
        <w:t>претходним</w:t>
      </w:r>
      <w:r>
        <w:rPr>
          <w:spacing w:val="-3"/>
        </w:rPr>
        <w:t xml:space="preserve"> </w:t>
      </w:r>
      <w:r>
        <w:t>годинама,</w:t>
      </w:r>
      <w:r>
        <w:rPr>
          <w:spacing w:val="-2"/>
        </w:rPr>
        <w:t xml:space="preserve"> </w:t>
      </w:r>
      <w:r>
        <w:t>и у</w:t>
      </w:r>
      <w:r>
        <w:rPr>
          <w:spacing w:val="-7"/>
        </w:rPr>
        <w:t xml:space="preserve"> </w:t>
      </w:r>
      <w:r>
        <w:t>буџетској</w:t>
      </w:r>
      <w:r>
        <w:rPr>
          <w:spacing w:val="-1"/>
        </w:rPr>
        <w:t xml:space="preserve"> </w:t>
      </w:r>
      <w:r>
        <w:t>2026.</w:t>
      </w:r>
      <w:r>
        <w:rPr>
          <w:spacing w:val="-2"/>
        </w:rPr>
        <w:t xml:space="preserve"> </w:t>
      </w:r>
      <w:r>
        <w:t>години</w:t>
      </w:r>
      <w:r>
        <w:rPr>
          <w:spacing w:val="-2"/>
        </w:rPr>
        <w:t xml:space="preserve"> </w:t>
      </w:r>
      <w:r>
        <w:t>не</w:t>
      </w:r>
      <w:r>
        <w:rPr>
          <w:spacing w:val="-3"/>
        </w:rPr>
        <w:t xml:space="preserve"> </w:t>
      </w:r>
      <w:r>
        <w:t>треба</w:t>
      </w:r>
      <w:r>
        <w:rPr>
          <w:spacing w:val="-3"/>
        </w:rPr>
        <w:t xml:space="preserve"> </w:t>
      </w:r>
      <w:r>
        <w:t>планирати обрачун и</w:t>
      </w:r>
      <w:r>
        <w:rPr>
          <w:spacing w:val="-4"/>
        </w:rPr>
        <w:t xml:space="preserve"> </w:t>
      </w:r>
      <w:r>
        <w:t>исплату</w:t>
      </w:r>
      <w:r>
        <w:rPr>
          <w:spacing w:val="-12"/>
        </w:rPr>
        <w:t xml:space="preserve"> </w:t>
      </w:r>
      <w:r>
        <w:t>поклона</w:t>
      </w:r>
      <w:r>
        <w:rPr>
          <w:spacing w:val="-3"/>
        </w:rPr>
        <w:t xml:space="preserve"> </w:t>
      </w:r>
      <w:r>
        <w:t>у</w:t>
      </w:r>
      <w:r>
        <w:rPr>
          <w:spacing w:val="-12"/>
        </w:rPr>
        <w:t xml:space="preserve"> </w:t>
      </w:r>
      <w:r>
        <w:t>новцу,</w:t>
      </w:r>
      <w:r>
        <w:rPr>
          <w:spacing w:val="-5"/>
        </w:rPr>
        <w:t xml:space="preserve"> </w:t>
      </w:r>
      <w:r>
        <w:t>божићних,</w:t>
      </w:r>
      <w:r>
        <w:rPr>
          <w:spacing w:val="-5"/>
        </w:rPr>
        <w:t xml:space="preserve"> </w:t>
      </w:r>
      <w:r>
        <w:t>годишњих</w:t>
      </w:r>
      <w:r>
        <w:rPr>
          <w:spacing w:val="-5"/>
        </w:rPr>
        <w:t xml:space="preserve"> </w:t>
      </w:r>
      <w:r>
        <w:t>и</w:t>
      </w:r>
      <w:r>
        <w:rPr>
          <w:spacing w:val="-4"/>
        </w:rPr>
        <w:t xml:space="preserve"> </w:t>
      </w:r>
      <w:r>
        <w:t>других</w:t>
      </w:r>
      <w:r>
        <w:rPr>
          <w:spacing w:val="-3"/>
        </w:rPr>
        <w:t xml:space="preserve"> </w:t>
      </w:r>
      <w:r>
        <w:t>врста</w:t>
      </w:r>
      <w:r>
        <w:rPr>
          <w:spacing w:val="-5"/>
        </w:rPr>
        <w:t xml:space="preserve"> </w:t>
      </w:r>
      <w:r>
        <w:t>награда,</w:t>
      </w:r>
      <w:r>
        <w:rPr>
          <w:spacing w:val="-5"/>
        </w:rPr>
        <w:t xml:space="preserve"> </w:t>
      </w:r>
      <w:r>
        <w:t>бонуса</w:t>
      </w:r>
      <w:r>
        <w:rPr>
          <w:spacing w:val="-6"/>
        </w:rPr>
        <w:t xml:space="preserve"> </w:t>
      </w:r>
      <w:r>
        <w:t>и</w:t>
      </w:r>
      <w:r>
        <w:rPr>
          <w:spacing w:val="-4"/>
        </w:rPr>
        <w:t xml:space="preserve"> </w:t>
      </w:r>
      <w:r>
        <w:t>примања запослених</w:t>
      </w:r>
      <w:r>
        <w:rPr>
          <w:spacing w:val="-9"/>
        </w:rPr>
        <w:t xml:space="preserve"> </w:t>
      </w:r>
      <w:r>
        <w:t>ради</w:t>
      </w:r>
      <w:r>
        <w:rPr>
          <w:spacing w:val="-10"/>
        </w:rPr>
        <w:t xml:space="preserve"> </w:t>
      </w:r>
      <w:r>
        <w:t>побољшања</w:t>
      </w:r>
      <w:r>
        <w:rPr>
          <w:spacing w:val="-9"/>
        </w:rPr>
        <w:t xml:space="preserve"> </w:t>
      </w:r>
      <w:r>
        <w:t>материјалног</w:t>
      </w:r>
      <w:r>
        <w:rPr>
          <w:spacing w:val="-11"/>
        </w:rPr>
        <w:t xml:space="preserve"> </w:t>
      </w:r>
      <w:r>
        <w:t>положаја</w:t>
      </w:r>
      <w:r>
        <w:rPr>
          <w:spacing w:val="-11"/>
        </w:rPr>
        <w:t xml:space="preserve"> </w:t>
      </w:r>
      <w:r>
        <w:t>и</w:t>
      </w:r>
      <w:r>
        <w:rPr>
          <w:spacing w:val="-10"/>
        </w:rPr>
        <w:t xml:space="preserve"> </w:t>
      </w:r>
      <w:r>
        <w:t>побољшања</w:t>
      </w:r>
      <w:r>
        <w:rPr>
          <w:spacing w:val="-7"/>
        </w:rPr>
        <w:t xml:space="preserve"> </w:t>
      </w:r>
      <w:r>
        <w:t>услова</w:t>
      </w:r>
      <w:r>
        <w:rPr>
          <w:spacing w:val="-12"/>
        </w:rPr>
        <w:t xml:space="preserve"> </w:t>
      </w:r>
      <w:r>
        <w:t>рада</w:t>
      </w:r>
      <w:r>
        <w:rPr>
          <w:spacing w:val="-12"/>
        </w:rPr>
        <w:t xml:space="preserve"> </w:t>
      </w:r>
      <w:r>
        <w:t>предвиђених посебним и појединачним колективним уговорима, за директне и индиректне кориснике буџетских средстава локалне власти, као и друга примања из члана 120. став 1. тачка 4. Закона</w:t>
      </w:r>
      <w:r>
        <w:rPr>
          <w:spacing w:val="-6"/>
        </w:rPr>
        <w:t xml:space="preserve"> </w:t>
      </w:r>
      <w:r>
        <w:t>о</w:t>
      </w:r>
      <w:r>
        <w:rPr>
          <w:spacing w:val="-6"/>
        </w:rPr>
        <w:t xml:space="preserve"> </w:t>
      </w:r>
      <w:r>
        <w:t>раду</w:t>
      </w:r>
      <w:r>
        <w:rPr>
          <w:spacing w:val="-10"/>
        </w:rPr>
        <w:t xml:space="preserve"> </w:t>
      </w:r>
      <w:r>
        <w:t>(„Службени</w:t>
      </w:r>
      <w:r>
        <w:rPr>
          <w:spacing w:val="-5"/>
        </w:rPr>
        <w:t xml:space="preserve"> </w:t>
      </w:r>
      <w:r>
        <w:t>гласник</w:t>
      </w:r>
      <w:r>
        <w:rPr>
          <w:spacing w:val="-5"/>
        </w:rPr>
        <w:t xml:space="preserve"> </w:t>
      </w:r>
      <w:r>
        <w:t>РС”,</w:t>
      </w:r>
      <w:r>
        <w:rPr>
          <w:spacing w:val="-6"/>
        </w:rPr>
        <w:t xml:space="preserve"> </w:t>
      </w:r>
      <w:r>
        <w:t>бр.</w:t>
      </w:r>
      <w:r>
        <w:rPr>
          <w:spacing w:val="-6"/>
        </w:rPr>
        <w:t xml:space="preserve"> </w:t>
      </w:r>
      <w:r>
        <w:t>24/05,</w:t>
      </w:r>
      <w:r>
        <w:rPr>
          <w:spacing w:val="-6"/>
        </w:rPr>
        <w:t xml:space="preserve"> </w:t>
      </w:r>
      <w:r>
        <w:t>61/05,</w:t>
      </w:r>
      <w:r>
        <w:rPr>
          <w:spacing w:val="-5"/>
        </w:rPr>
        <w:t xml:space="preserve"> </w:t>
      </w:r>
      <w:r>
        <w:t>54/09,</w:t>
      </w:r>
      <w:r>
        <w:rPr>
          <w:spacing w:val="-5"/>
        </w:rPr>
        <w:t xml:space="preserve"> </w:t>
      </w:r>
      <w:r>
        <w:t>32/13,</w:t>
      </w:r>
      <w:r>
        <w:rPr>
          <w:spacing w:val="-7"/>
        </w:rPr>
        <w:t xml:space="preserve"> </w:t>
      </w:r>
      <w:r>
        <w:t>75/14,</w:t>
      </w:r>
      <w:r>
        <w:rPr>
          <w:spacing w:val="-5"/>
        </w:rPr>
        <w:t xml:space="preserve"> </w:t>
      </w:r>
      <w:r>
        <w:t>13/17УС,</w:t>
      </w:r>
      <w:r>
        <w:rPr>
          <w:spacing w:val="-6"/>
        </w:rPr>
        <w:t xml:space="preserve"> </w:t>
      </w:r>
      <w:r>
        <w:t>113/17 и 95/18-аутентично тумачење) осим јубиларних награда за запослене који то право стичу у 2026. години и новчаних честитки за децу запослених.</w:t>
      </w:r>
    </w:p>
    <w:p w14:paraId="5D54D68C">
      <w:pPr>
        <w:pStyle w:val="6"/>
        <w:spacing w:before="18" w:line="266" w:lineRule="auto"/>
        <w:ind w:left="161" w:right="292" w:firstLine="578"/>
      </w:pPr>
      <w:r>
        <w:t>Такође, у 2026. години не могу се исплаћивати запосленима код директних и индиректних корисника буџетских средстава локалне власти, награде и бонуси који према међународним</w:t>
      </w:r>
      <w:r>
        <w:rPr>
          <w:spacing w:val="-15"/>
        </w:rPr>
        <w:t xml:space="preserve"> </w:t>
      </w:r>
      <w:r>
        <w:t>критеријумима</w:t>
      </w:r>
      <w:r>
        <w:rPr>
          <w:spacing w:val="-15"/>
        </w:rPr>
        <w:t xml:space="preserve"> </w:t>
      </w:r>
      <w:r>
        <w:t>представљају</w:t>
      </w:r>
      <w:r>
        <w:rPr>
          <w:spacing w:val="-15"/>
        </w:rPr>
        <w:t xml:space="preserve"> </w:t>
      </w:r>
      <w:r>
        <w:t>нестандардне,</w:t>
      </w:r>
      <w:r>
        <w:rPr>
          <w:spacing w:val="-15"/>
        </w:rPr>
        <w:t xml:space="preserve"> </w:t>
      </w:r>
      <w:r>
        <w:t>односно</w:t>
      </w:r>
      <w:r>
        <w:rPr>
          <w:spacing w:val="-15"/>
        </w:rPr>
        <w:t xml:space="preserve"> </w:t>
      </w:r>
      <w:r>
        <w:t>нетранспарентне</w:t>
      </w:r>
      <w:r>
        <w:rPr>
          <w:spacing w:val="-15"/>
        </w:rPr>
        <w:t xml:space="preserve"> </w:t>
      </w:r>
      <w:r>
        <w:t>облике награда и бонуса.</w:t>
      </w:r>
    </w:p>
    <w:p w14:paraId="2FFB10B1">
      <w:pPr>
        <w:pStyle w:val="6"/>
        <w:spacing w:before="66" w:line="266" w:lineRule="auto"/>
        <w:ind w:left="161" w:right="290" w:firstLine="578"/>
      </w:pPr>
      <w:r>
        <w:t>Остале</w:t>
      </w:r>
      <w:r>
        <w:rPr>
          <w:spacing w:val="-1"/>
        </w:rPr>
        <w:t xml:space="preserve"> </w:t>
      </w:r>
      <w:r>
        <w:t>економске</w:t>
      </w:r>
      <w:r>
        <w:rPr>
          <w:spacing w:val="-3"/>
        </w:rPr>
        <w:t xml:space="preserve"> </w:t>
      </w:r>
      <w:r>
        <w:t>класификације</w:t>
      </w:r>
      <w:r>
        <w:rPr>
          <w:spacing w:val="-1"/>
        </w:rPr>
        <w:t xml:space="preserve"> </w:t>
      </w:r>
      <w:r>
        <w:t>у</w:t>
      </w:r>
      <w:r>
        <w:rPr>
          <w:spacing w:val="-7"/>
        </w:rPr>
        <w:t xml:space="preserve"> </w:t>
      </w:r>
      <w:r>
        <w:t>оквиру</w:t>
      </w:r>
      <w:r>
        <w:rPr>
          <w:spacing w:val="-7"/>
        </w:rPr>
        <w:t xml:space="preserve"> </w:t>
      </w:r>
      <w:r>
        <w:t>групе</w:t>
      </w:r>
      <w:r>
        <w:rPr>
          <w:spacing w:val="-3"/>
        </w:rPr>
        <w:t xml:space="preserve"> </w:t>
      </w:r>
      <w:r>
        <w:t>41 -</w:t>
      </w:r>
      <w:r>
        <w:rPr>
          <w:spacing w:val="-3"/>
        </w:rPr>
        <w:t xml:space="preserve"> </w:t>
      </w:r>
      <w:r>
        <w:t>Расходи</w:t>
      </w:r>
      <w:r>
        <w:rPr>
          <w:spacing w:val="-1"/>
        </w:rPr>
        <w:t xml:space="preserve"> </w:t>
      </w:r>
      <w:r>
        <w:t>за</w:t>
      </w:r>
      <w:r>
        <w:rPr>
          <w:spacing w:val="-3"/>
        </w:rPr>
        <w:t xml:space="preserve"> </w:t>
      </w:r>
      <w:r>
        <w:t>запослене,</w:t>
      </w:r>
      <w:r>
        <w:rPr>
          <w:spacing w:val="-2"/>
        </w:rPr>
        <w:t xml:space="preserve"> </w:t>
      </w:r>
      <w:r>
        <w:t>планирати крајње рестриктивно, уз уважавање права запослених која су уређена релевантним прописима и респектовање принципа одговорног фискалног управљања.</w:t>
      </w:r>
    </w:p>
    <w:p w14:paraId="24D8A41D">
      <w:pPr>
        <w:spacing w:before="1" w:line="268" w:lineRule="auto"/>
        <w:ind w:left="28" w:right="288" w:firstLine="0"/>
        <w:jc w:val="both"/>
        <w:rPr>
          <w:sz w:val="22"/>
          <w:szCs w:val="22"/>
        </w:rPr>
      </w:pPr>
      <w:r>
        <w:rPr>
          <w:sz w:val="22"/>
          <w:szCs w:val="22"/>
        </w:rPr>
        <w:t>Локална власт је у обавези да у одлуци о буџету за 2026. годину, у делу буџета који садржи норме</w:t>
      </w:r>
      <w:r>
        <w:rPr>
          <w:spacing w:val="-8"/>
          <w:sz w:val="22"/>
          <w:szCs w:val="22"/>
        </w:rPr>
        <w:t xml:space="preserve"> </w:t>
      </w:r>
      <w:r>
        <w:rPr>
          <w:sz w:val="22"/>
          <w:szCs w:val="22"/>
        </w:rPr>
        <w:t>битне</w:t>
      </w:r>
      <w:r>
        <w:rPr>
          <w:spacing w:val="-8"/>
          <w:sz w:val="22"/>
          <w:szCs w:val="22"/>
        </w:rPr>
        <w:t xml:space="preserve"> </w:t>
      </w:r>
      <w:r>
        <w:rPr>
          <w:sz w:val="22"/>
          <w:szCs w:val="22"/>
        </w:rPr>
        <w:t>за</w:t>
      </w:r>
      <w:r>
        <w:rPr>
          <w:spacing w:val="-8"/>
          <w:sz w:val="22"/>
          <w:szCs w:val="22"/>
        </w:rPr>
        <w:t xml:space="preserve"> </w:t>
      </w:r>
      <w:r>
        <w:rPr>
          <w:sz w:val="22"/>
          <w:szCs w:val="22"/>
        </w:rPr>
        <w:t>извршење</w:t>
      </w:r>
      <w:r>
        <w:rPr>
          <w:spacing w:val="-8"/>
          <w:sz w:val="22"/>
          <w:szCs w:val="22"/>
        </w:rPr>
        <w:t xml:space="preserve"> </w:t>
      </w:r>
      <w:r>
        <w:rPr>
          <w:sz w:val="22"/>
          <w:szCs w:val="22"/>
        </w:rPr>
        <w:t>буџета,</w:t>
      </w:r>
      <w:r>
        <w:rPr>
          <w:spacing w:val="-3"/>
          <w:sz w:val="22"/>
          <w:szCs w:val="22"/>
        </w:rPr>
        <w:t xml:space="preserve"> </w:t>
      </w:r>
      <w:r>
        <w:rPr>
          <w:sz w:val="22"/>
          <w:szCs w:val="22"/>
        </w:rPr>
        <w:t>у</w:t>
      </w:r>
      <w:r>
        <w:rPr>
          <w:spacing w:val="-12"/>
          <w:sz w:val="22"/>
          <w:szCs w:val="22"/>
        </w:rPr>
        <w:t xml:space="preserve"> </w:t>
      </w:r>
      <w:r>
        <w:rPr>
          <w:sz w:val="22"/>
          <w:szCs w:val="22"/>
        </w:rPr>
        <w:t>посебној</w:t>
      </w:r>
      <w:r>
        <w:rPr>
          <w:spacing w:val="-8"/>
          <w:sz w:val="22"/>
          <w:szCs w:val="22"/>
        </w:rPr>
        <w:t xml:space="preserve"> </w:t>
      </w:r>
      <w:r>
        <w:rPr>
          <w:sz w:val="22"/>
          <w:szCs w:val="22"/>
        </w:rPr>
        <w:t>одредби</w:t>
      </w:r>
      <w:r>
        <w:rPr>
          <w:spacing w:val="-7"/>
          <w:sz w:val="22"/>
          <w:szCs w:val="22"/>
        </w:rPr>
        <w:t xml:space="preserve"> </w:t>
      </w:r>
      <w:r>
        <w:rPr>
          <w:sz w:val="22"/>
          <w:szCs w:val="22"/>
        </w:rPr>
        <w:t>искаже</w:t>
      </w:r>
      <w:r>
        <w:rPr>
          <w:spacing w:val="-5"/>
          <w:sz w:val="22"/>
          <w:szCs w:val="22"/>
        </w:rPr>
        <w:t xml:space="preserve"> </w:t>
      </w:r>
      <w:r>
        <w:rPr>
          <w:b/>
          <w:sz w:val="22"/>
          <w:szCs w:val="22"/>
        </w:rPr>
        <w:t>број</w:t>
      </w:r>
      <w:r>
        <w:rPr>
          <w:b/>
          <w:spacing w:val="-8"/>
          <w:sz w:val="22"/>
          <w:szCs w:val="22"/>
        </w:rPr>
        <w:t xml:space="preserve"> </w:t>
      </w:r>
      <w:r>
        <w:rPr>
          <w:b/>
          <w:sz w:val="22"/>
          <w:szCs w:val="22"/>
        </w:rPr>
        <w:t>запослених</w:t>
      </w:r>
      <w:r>
        <w:rPr>
          <w:b/>
          <w:spacing w:val="-8"/>
          <w:sz w:val="22"/>
          <w:szCs w:val="22"/>
        </w:rPr>
        <w:t xml:space="preserve"> </w:t>
      </w:r>
      <w:r>
        <w:rPr>
          <w:b/>
          <w:sz w:val="22"/>
          <w:szCs w:val="22"/>
        </w:rPr>
        <w:t>на</w:t>
      </w:r>
      <w:r>
        <w:rPr>
          <w:b/>
          <w:spacing w:val="-8"/>
          <w:sz w:val="22"/>
          <w:szCs w:val="22"/>
        </w:rPr>
        <w:t xml:space="preserve"> </w:t>
      </w:r>
      <w:r>
        <w:rPr>
          <w:b/>
          <w:sz w:val="22"/>
          <w:szCs w:val="22"/>
        </w:rPr>
        <w:t>неодређено и одређено време, за које су у буџету локалне власти обезбеђена средства.</w:t>
      </w:r>
    </w:p>
    <w:p w14:paraId="7E42C370">
      <w:pPr>
        <w:pStyle w:val="20"/>
        <w:ind w:left="0" w:firstLine="720"/>
        <w:jc w:val="both"/>
      </w:pPr>
    </w:p>
    <w:p w14:paraId="625093AD">
      <w:pPr>
        <w:pStyle w:val="20"/>
        <w:ind w:left="0" w:firstLine="720"/>
      </w:pPr>
      <w:r>
        <w:rPr>
          <w:rFonts w:hint="default"/>
          <w:b/>
          <w:lang w:val="en-US"/>
        </w:rPr>
        <w:t xml:space="preserve">II </w:t>
      </w:r>
      <w:r>
        <w:rPr>
          <w:b/>
        </w:rPr>
        <w:t>Група конта 42 – Коришћење услуга и роба</w:t>
      </w:r>
      <w:r>
        <w:t xml:space="preserve"> </w:t>
      </w:r>
    </w:p>
    <w:p w14:paraId="483E3494">
      <w:pPr>
        <w:pStyle w:val="20"/>
        <w:ind w:left="0" w:firstLine="720"/>
      </w:pPr>
    </w:p>
    <w:p w14:paraId="1573FEB7">
      <w:pPr>
        <w:pStyle w:val="20"/>
        <w:spacing w:line="240" w:lineRule="auto"/>
        <w:ind w:left="0" w:firstLine="720"/>
        <w:jc w:val="both"/>
      </w:pPr>
      <w:r>
        <w:t>У оквиру групе конта која се односе на куповину роба и услуга, потребно је реално планирати средства за ове намене у 202</w:t>
      </w:r>
      <w:r>
        <w:rPr>
          <w:rFonts w:hint="default"/>
          <w:lang w:val="sr-Cyrl-RS"/>
        </w:rPr>
        <w:t>6</w:t>
      </w:r>
      <w:r>
        <w:t xml:space="preserve">. години, водећи рачуна да се не угрози извршавање сталних трошкова (421 – Стални трошкови). </w:t>
      </w:r>
    </w:p>
    <w:p w14:paraId="1DFF6A01">
      <w:pPr>
        <w:pStyle w:val="20"/>
        <w:spacing w:line="240" w:lineRule="auto"/>
        <w:ind w:left="0" w:firstLine="720"/>
        <w:jc w:val="both"/>
      </w:pPr>
      <w:r>
        <w:t xml:space="preserve">Препорука је да буџетски корисници у буџетској процедури преиспитају и потребу смањења других накнада за рад, које нису обухваћене Законом (уговори о делу, привремено повремени послови и др), а све у циљу великих потреба фискалног прилагођавања. </w:t>
      </w:r>
    </w:p>
    <w:p w14:paraId="6A9272B1">
      <w:pPr>
        <w:pStyle w:val="6"/>
        <w:spacing w:line="240" w:lineRule="auto"/>
        <w:ind w:left="28" w:right="293" w:firstLine="710"/>
        <w:rPr>
          <w:rFonts w:hint="default"/>
          <w:lang w:val="sr-Latn-RS"/>
        </w:rPr>
      </w:pPr>
      <w:r>
        <w:t>Посебно је приликом планирања ове групе конта потребан крајње реалан приступ и са аспекта Закона о роковима измирења новчаних обавеза у комерцијалним трансакцијама</w:t>
      </w:r>
      <w:r>
        <w:rPr>
          <w:rFonts w:hint="default"/>
          <w:lang w:val="sr-Cyrl-RS"/>
        </w:rPr>
        <w:t xml:space="preserve"> </w:t>
      </w:r>
      <w:r>
        <w:t xml:space="preserve">(„Службени гласник РСˮ, бр. 119/12, 68/15, 113/17, 91/19, 44/21, 130/21, 120/21- др. закон и </w:t>
      </w:r>
      <w:r>
        <w:rPr>
          <w:spacing w:val="-2"/>
        </w:rPr>
        <w:t>138/22).</w:t>
      </w:r>
    </w:p>
    <w:p w14:paraId="0F46D156">
      <w:pPr>
        <w:pStyle w:val="20"/>
        <w:ind w:left="0" w:firstLine="720"/>
        <w:jc w:val="both"/>
      </w:pPr>
    </w:p>
    <w:p w14:paraId="2AD98C56">
      <w:pPr>
        <w:pStyle w:val="20"/>
        <w:ind w:left="0" w:firstLine="720"/>
        <w:jc w:val="both"/>
      </w:pPr>
      <w:r>
        <w:rPr>
          <w:rFonts w:hint="default"/>
          <w:b/>
          <w:lang w:val="en-US"/>
        </w:rPr>
        <w:t xml:space="preserve">III  </w:t>
      </w:r>
      <w:r>
        <w:rPr>
          <w:b/>
        </w:rPr>
        <w:t xml:space="preserve">Група конта 45 - Субвенције </w:t>
      </w:r>
    </w:p>
    <w:p w14:paraId="76E98CA4">
      <w:pPr>
        <w:pStyle w:val="20"/>
        <w:ind w:left="0" w:firstLine="720"/>
        <w:jc w:val="both"/>
      </w:pPr>
    </w:p>
    <w:p w14:paraId="78C561C4">
      <w:pPr>
        <w:pStyle w:val="20"/>
        <w:ind w:left="0" w:firstLine="720"/>
        <w:jc w:val="both"/>
      </w:pPr>
      <w:r>
        <w:t xml:space="preserve">У оквиру субвенција и буџетских кредита неопходно је преиспитати све програме по основу којих се додељују субвенције и буџетски кредити. </w:t>
      </w:r>
    </w:p>
    <w:p w14:paraId="47449583">
      <w:pPr>
        <w:pStyle w:val="20"/>
        <w:ind w:left="0" w:firstLine="720"/>
        <w:jc w:val="both"/>
      </w:pPr>
      <w:r>
        <w:t xml:space="preserve">Приликом планирања средстава за субвенције и њихових намена посебно треба имати у виду све прописе који се тичу државне помоћи. </w:t>
      </w:r>
    </w:p>
    <w:p w14:paraId="2D289F6D">
      <w:pPr>
        <w:pStyle w:val="20"/>
        <w:ind w:left="0" w:firstLine="720"/>
      </w:pPr>
    </w:p>
    <w:p w14:paraId="0A78F477">
      <w:pPr>
        <w:pStyle w:val="20"/>
        <w:ind w:left="0" w:firstLine="720"/>
      </w:pPr>
      <w:r>
        <w:rPr>
          <w:b/>
        </w:rPr>
        <w:t>Група конта 48 – Остали расходи</w:t>
      </w:r>
      <w:r>
        <w:t xml:space="preserve"> </w:t>
      </w:r>
    </w:p>
    <w:p w14:paraId="5D4720DE">
      <w:pPr>
        <w:pStyle w:val="20"/>
        <w:ind w:left="0" w:firstLine="720"/>
      </w:pPr>
    </w:p>
    <w:p w14:paraId="0CC4C1DD">
      <w:pPr>
        <w:pStyle w:val="20"/>
        <w:ind w:left="0" w:firstLine="720"/>
        <w:jc w:val="both"/>
      </w:pPr>
      <w:r>
        <w:t xml:space="preserve"> Приликом планирања наведених расхода, треба имати у виду да се услед недовољног износа средстава на економској класификацији 483 – Новчане казне и пенали по решењу судова, иста повећава смањењем осталих економских класификација, на којима је, због наведеног, неопходно прилагодити преузимање обавеза, како би се на тај начин спречило стварање доцњи. </w:t>
      </w:r>
    </w:p>
    <w:p w14:paraId="734DED42">
      <w:pPr>
        <w:pStyle w:val="20"/>
        <w:ind w:left="0" w:firstLine="720"/>
      </w:pPr>
    </w:p>
    <w:p w14:paraId="5B713FF1">
      <w:pPr>
        <w:pStyle w:val="2"/>
        <w:numPr>
          <w:ilvl w:val="0"/>
          <w:numId w:val="1"/>
        </w:numPr>
        <w:tabs>
          <w:tab w:val="left" w:pos="626"/>
        </w:tabs>
        <w:spacing w:before="1" w:after="0" w:line="240" w:lineRule="auto"/>
        <w:ind w:left="0" w:leftChars="0" w:right="0" w:rightChars="0" w:firstLine="720" w:firstLineChars="0"/>
        <w:jc w:val="left"/>
        <w:rPr>
          <w:rFonts w:hint="default" w:asciiTheme="minorAscii" w:hAnsiTheme="minorAscii"/>
          <w:sz w:val="22"/>
          <w:szCs w:val="22"/>
        </w:rPr>
      </w:pPr>
      <w:r>
        <w:rPr>
          <w:rFonts w:hint="default" w:asciiTheme="minorAscii" w:hAnsiTheme="minorAscii"/>
          <w:sz w:val="22"/>
          <w:szCs w:val="22"/>
        </w:rPr>
        <w:t>Финансијска</w:t>
      </w:r>
      <w:r>
        <w:rPr>
          <w:rFonts w:hint="default" w:asciiTheme="minorAscii" w:hAnsiTheme="minorAscii"/>
          <w:spacing w:val="-5"/>
          <w:sz w:val="22"/>
          <w:szCs w:val="22"/>
        </w:rPr>
        <w:t xml:space="preserve"> </w:t>
      </w:r>
      <w:r>
        <w:rPr>
          <w:rFonts w:hint="default" w:asciiTheme="minorAscii" w:hAnsiTheme="minorAscii"/>
          <w:sz w:val="22"/>
          <w:szCs w:val="22"/>
        </w:rPr>
        <w:t>помоћ</w:t>
      </w:r>
      <w:r>
        <w:rPr>
          <w:rFonts w:hint="default" w:asciiTheme="minorAscii" w:hAnsiTheme="minorAscii"/>
          <w:spacing w:val="-3"/>
          <w:sz w:val="22"/>
          <w:szCs w:val="22"/>
        </w:rPr>
        <w:t xml:space="preserve"> </w:t>
      </w:r>
      <w:r>
        <w:rPr>
          <w:rFonts w:hint="default" w:asciiTheme="minorAscii" w:hAnsiTheme="minorAscii"/>
          <w:sz w:val="22"/>
          <w:szCs w:val="22"/>
        </w:rPr>
        <w:t>Европске</w:t>
      </w:r>
      <w:r>
        <w:rPr>
          <w:rFonts w:hint="default" w:asciiTheme="minorAscii" w:hAnsiTheme="minorAscii"/>
          <w:spacing w:val="-4"/>
          <w:sz w:val="22"/>
          <w:szCs w:val="22"/>
        </w:rPr>
        <w:t xml:space="preserve"> </w:t>
      </w:r>
      <w:r>
        <w:rPr>
          <w:rFonts w:hint="default" w:asciiTheme="minorAscii" w:hAnsiTheme="minorAscii"/>
          <w:sz w:val="22"/>
          <w:szCs w:val="22"/>
        </w:rPr>
        <w:t>уније</w:t>
      </w:r>
      <w:r>
        <w:rPr>
          <w:rFonts w:hint="default" w:asciiTheme="minorAscii" w:hAnsiTheme="minorAscii"/>
          <w:spacing w:val="-3"/>
          <w:sz w:val="22"/>
          <w:szCs w:val="22"/>
        </w:rPr>
        <w:t xml:space="preserve"> </w:t>
      </w:r>
      <w:r>
        <w:rPr>
          <w:rFonts w:hint="default" w:asciiTheme="minorAscii" w:hAnsiTheme="minorAscii"/>
          <w:sz w:val="22"/>
          <w:szCs w:val="22"/>
        </w:rPr>
        <w:t>(ИПА</w:t>
      </w:r>
      <w:r>
        <w:rPr>
          <w:rFonts w:hint="default" w:asciiTheme="minorAscii" w:hAnsiTheme="minorAscii"/>
          <w:spacing w:val="-5"/>
          <w:sz w:val="22"/>
          <w:szCs w:val="22"/>
        </w:rPr>
        <w:t xml:space="preserve"> </w:t>
      </w:r>
      <w:r>
        <w:rPr>
          <w:rFonts w:hint="default" w:asciiTheme="minorAscii" w:hAnsiTheme="minorAscii"/>
          <w:sz w:val="22"/>
          <w:szCs w:val="22"/>
        </w:rPr>
        <w:t>II</w:t>
      </w:r>
      <w:r>
        <w:rPr>
          <w:rFonts w:hint="default" w:asciiTheme="minorAscii" w:hAnsiTheme="minorAscii"/>
          <w:spacing w:val="-3"/>
          <w:sz w:val="22"/>
          <w:szCs w:val="22"/>
        </w:rPr>
        <w:t xml:space="preserve"> </w:t>
      </w:r>
      <w:r>
        <w:rPr>
          <w:rFonts w:hint="default" w:asciiTheme="minorAscii" w:hAnsiTheme="minorAscii"/>
          <w:sz w:val="22"/>
          <w:szCs w:val="22"/>
        </w:rPr>
        <w:t>и</w:t>
      </w:r>
      <w:r>
        <w:rPr>
          <w:rFonts w:hint="default" w:asciiTheme="minorAscii" w:hAnsiTheme="minorAscii"/>
          <w:spacing w:val="-1"/>
          <w:sz w:val="22"/>
          <w:szCs w:val="22"/>
        </w:rPr>
        <w:t xml:space="preserve"> </w:t>
      </w:r>
      <w:r>
        <w:rPr>
          <w:rFonts w:hint="default" w:asciiTheme="minorAscii" w:hAnsiTheme="minorAscii"/>
          <w:sz w:val="22"/>
          <w:szCs w:val="22"/>
        </w:rPr>
        <w:t>ИПА</w:t>
      </w:r>
      <w:r>
        <w:rPr>
          <w:rFonts w:hint="default" w:asciiTheme="minorAscii" w:hAnsiTheme="minorAscii"/>
          <w:spacing w:val="-3"/>
          <w:sz w:val="22"/>
          <w:szCs w:val="22"/>
        </w:rPr>
        <w:t xml:space="preserve"> </w:t>
      </w:r>
      <w:r>
        <w:rPr>
          <w:rFonts w:hint="default" w:asciiTheme="minorAscii" w:hAnsiTheme="minorAscii"/>
          <w:spacing w:val="-2"/>
          <w:sz w:val="22"/>
          <w:szCs w:val="22"/>
        </w:rPr>
        <w:t>III)</w:t>
      </w:r>
    </w:p>
    <w:p w14:paraId="6F8C3980">
      <w:pPr>
        <w:pStyle w:val="2"/>
        <w:numPr>
          <w:ilvl w:val="0"/>
          <w:numId w:val="0"/>
        </w:numPr>
        <w:tabs>
          <w:tab w:val="left" w:pos="626"/>
        </w:tabs>
        <w:spacing w:before="1" w:after="0" w:line="240" w:lineRule="auto"/>
        <w:ind w:left="720" w:leftChars="0" w:right="0" w:rightChars="0"/>
        <w:jc w:val="left"/>
        <w:rPr>
          <w:rFonts w:hint="default" w:asciiTheme="minorAscii" w:hAnsiTheme="minorAscii"/>
          <w:sz w:val="22"/>
          <w:szCs w:val="22"/>
        </w:rPr>
      </w:pPr>
    </w:p>
    <w:p w14:paraId="5909FBF5">
      <w:pPr>
        <w:pStyle w:val="6"/>
        <w:spacing w:before="66" w:line="266" w:lineRule="auto"/>
        <w:ind w:left="14" w:right="286"/>
        <w:rPr>
          <w:rFonts w:hint="default" w:asciiTheme="minorAscii" w:hAnsiTheme="minorAscii"/>
          <w:sz w:val="22"/>
          <w:szCs w:val="22"/>
        </w:rPr>
      </w:pPr>
      <w:r>
        <w:rPr>
          <w:rFonts w:hint="default" w:asciiTheme="minorAscii" w:hAnsiTheme="minorAscii"/>
          <w:sz w:val="22"/>
          <w:szCs w:val="22"/>
        </w:rPr>
        <w:t>Један од извора финансирања пројеката на локалном нивоу је и финансијска помоћ Европске уније, у оквиру спровођења помоћи према правилима инструмента претприступне помоћи</w:t>
      </w:r>
      <w:r>
        <w:rPr>
          <w:rFonts w:hint="default" w:asciiTheme="minorAscii" w:hAnsiTheme="minorAscii"/>
          <w:spacing w:val="-6"/>
          <w:sz w:val="22"/>
          <w:szCs w:val="22"/>
        </w:rPr>
        <w:t xml:space="preserve"> </w:t>
      </w:r>
      <w:r>
        <w:rPr>
          <w:rFonts w:hint="default" w:asciiTheme="minorAscii" w:hAnsiTheme="minorAscii"/>
          <w:sz w:val="22"/>
          <w:szCs w:val="22"/>
        </w:rPr>
        <w:t>(ИПА</w:t>
      </w:r>
      <w:r>
        <w:rPr>
          <w:rFonts w:hint="default" w:asciiTheme="minorAscii" w:hAnsiTheme="minorAscii"/>
          <w:spacing w:val="-6"/>
          <w:sz w:val="22"/>
          <w:szCs w:val="22"/>
        </w:rPr>
        <w:t xml:space="preserve"> </w:t>
      </w:r>
      <w:r>
        <w:rPr>
          <w:rFonts w:hint="default" w:asciiTheme="minorAscii" w:hAnsiTheme="minorAscii"/>
          <w:sz w:val="22"/>
          <w:szCs w:val="22"/>
        </w:rPr>
        <w:t>II</w:t>
      </w:r>
      <w:r>
        <w:rPr>
          <w:rFonts w:hint="default" w:asciiTheme="minorAscii" w:hAnsiTheme="minorAscii"/>
          <w:spacing w:val="-11"/>
          <w:sz w:val="22"/>
          <w:szCs w:val="22"/>
        </w:rPr>
        <w:t xml:space="preserve"> </w:t>
      </w:r>
      <w:r>
        <w:rPr>
          <w:rFonts w:hint="default" w:asciiTheme="minorAscii" w:hAnsiTheme="minorAscii"/>
          <w:sz w:val="22"/>
          <w:szCs w:val="22"/>
        </w:rPr>
        <w:t>и</w:t>
      </w:r>
      <w:r>
        <w:rPr>
          <w:rFonts w:hint="default" w:asciiTheme="minorAscii" w:hAnsiTheme="minorAscii"/>
          <w:spacing w:val="-6"/>
          <w:sz w:val="22"/>
          <w:szCs w:val="22"/>
        </w:rPr>
        <w:t xml:space="preserve"> </w:t>
      </w:r>
      <w:r>
        <w:rPr>
          <w:rFonts w:hint="default" w:asciiTheme="minorAscii" w:hAnsiTheme="minorAscii"/>
          <w:sz w:val="22"/>
          <w:szCs w:val="22"/>
        </w:rPr>
        <w:t>ИПА</w:t>
      </w:r>
      <w:r>
        <w:rPr>
          <w:rFonts w:hint="default" w:asciiTheme="minorAscii" w:hAnsiTheme="minorAscii"/>
          <w:spacing w:val="-5"/>
          <w:sz w:val="22"/>
          <w:szCs w:val="22"/>
        </w:rPr>
        <w:t xml:space="preserve"> </w:t>
      </w:r>
      <w:r>
        <w:rPr>
          <w:rFonts w:hint="default" w:asciiTheme="minorAscii" w:hAnsiTheme="minorAscii"/>
          <w:sz w:val="22"/>
          <w:szCs w:val="22"/>
        </w:rPr>
        <w:t>III),</w:t>
      </w:r>
      <w:r>
        <w:rPr>
          <w:rFonts w:hint="default" w:asciiTheme="minorAscii" w:hAnsiTheme="minorAscii"/>
          <w:spacing w:val="-5"/>
          <w:sz w:val="22"/>
          <w:szCs w:val="22"/>
        </w:rPr>
        <w:t xml:space="preserve"> </w:t>
      </w:r>
      <w:r>
        <w:rPr>
          <w:rFonts w:hint="default" w:asciiTheme="minorAscii" w:hAnsiTheme="minorAscii"/>
          <w:sz w:val="22"/>
          <w:szCs w:val="22"/>
        </w:rPr>
        <w:t>а</w:t>
      </w:r>
      <w:r>
        <w:rPr>
          <w:rFonts w:hint="default" w:asciiTheme="minorAscii" w:hAnsiTheme="minorAscii"/>
          <w:spacing w:val="-3"/>
          <w:sz w:val="22"/>
          <w:szCs w:val="22"/>
        </w:rPr>
        <w:t xml:space="preserve"> </w:t>
      </w:r>
      <w:r>
        <w:rPr>
          <w:rFonts w:hint="default" w:asciiTheme="minorAscii" w:hAnsiTheme="minorAscii"/>
          <w:sz w:val="22"/>
          <w:szCs w:val="22"/>
        </w:rPr>
        <w:t>у</w:t>
      </w:r>
      <w:r>
        <w:rPr>
          <w:rFonts w:hint="default" w:asciiTheme="minorAscii" w:hAnsiTheme="minorAscii"/>
          <w:spacing w:val="-12"/>
          <w:sz w:val="22"/>
          <w:szCs w:val="22"/>
        </w:rPr>
        <w:t xml:space="preserve"> </w:t>
      </w:r>
      <w:r>
        <w:rPr>
          <w:rFonts w:hint="default" w:asciiTheme="minorAscii" w:hAnsiTheme="minorAscii"/>
          <w:sz w:val="22"/>
          <w:szCs w:val="22"/>
        </w:rPr>
        <w:t>складу</w:t>
      </w:r>
      <w:r>
        <w:rPr>
          <w:rFonts w:hint="default" w:asciiTheme="minorAscii" w:hAnsiTheme="minorAscii"/>
          <w:spacing w:val="-12"/>
          <w:sz w:val="22"/>
          <w:szCs w:val="22"/>
        </w:rPr>
        <w:t xml:space="preserve"> </w:t>
      </w:r>
      <w:r>
        <w:rPr>
          <w:rFonts w:hint="default" w:asciiTheme="minorAscii" w:hAnsiTheme="minorAscii"/>
          <w:sz w:val="22"/>
          <w:szCs w:val="22"/>
        </w:rPr>
        <w:t>са</w:t>
      </w:r>
      <w:r>
        <w:rPr>
          <w:rFonts w:hint="default" w:asciiTheme="minorAscii" w:hAnsiTheme="minorAscii"/>
          <w:spacing w:val="-8"/>
          <w:sz w:val="22"/>
          <w:szCs w:val="22"/>
        </w:rPr>
        <w:t xml:space="preserve"> </w:t>
      </w:r>
      <w:r>
        <w:rPr>
          <w:rFonts w:hint="default" w:asciiTheme="minorAscii" w:hAnsiTheme="minorAscii"/>
          <w:sz w:val="22"/>
          <w:szCs w:val="22"/>
        </w:rPr>
        <w:t>Законом</w:t>
      </w:r>
      <w:r>
        <w:rPr>
          <w:rFonts w:hint="default" w:asciiTheme="minorAscii" w:hAnsiTheme="minorAscii"/>
          <w:spacing w:val="-8"/>
          <w:sz w:val="22"/>
          <w:szCs w:val="22"/>
        </w:rPr>
        <w:t xml:space="preserve"> </w:t>
      </w:r>
      <w:r>
        <w:rPr>
          <w:rFonts w:hint="default" w:asciiTheme="minorAscii" w:hAnsiTheme="minorAscii"/>
          <w:sz w:val="22"/>
          <w:szCs w:val="22"/>
        </w:rPr>
        <w:t>о</w:t>
      </w:r>
      <w:r>
        <w:rPr>
          <w:rFonts w:hint="default" w:asciiTheme="minorAscii" w:hAnsiTheme="minorAscii"/>
          <w:spacing w:val="-7"/>
          <w:sz w:val="22"/>
          <w:szCs w:val="22"/>
        </w:rPr>
        <w:t xml:space="preserve"> </w:t>
      </w:r>
      <w:r>
        <w:rPr>
          <w:rFonts w:hint="default" w:asciiTheme="minorAscii" w:hAnsiTheme="minorAscii"/>
          <w:sz w:val="22"/>
          <w:szCs w:val="22"/>
        </w:rPr>
        <w:t>потврђивању</w:t>
      </w:r>
      <w:r>
        <w:rPr>
          <w:rFonts w:hint="default" w:asciiTheme="minorAscii" w:hAnsiTheme="minorAscii"/>
          <w:spacing w:val="-12"/>
          <w:sz w:val="22"/>
          <w:szCs w:val="22"/>
        </w:rPr>
        <w:t xml:space="preserve"> </w:t>
      </w:r>
      <w:r>
        <w:rPr>
          <w:rFonts w:hint="default" w:asciiTheme="minorAscii" w:hAnsiTheme="minorAscii"/>
          <w:sz w:val="22"/>
          <w:szCs w:val="22"/>
        </w:rPr>
        <w:t>Оквирног</w:t>
      </w:r>
      <w:r>
        <w:rPr>
          <w:rFonts w:hint="default" w:asciiTheme="minorAscii" w:hAnsiTheme="minorAscii"/>
          <w:spacing w:val="-7"/>
          <w:sz w:val="22"/>
          <w:szCs w:val="22"/>
        </w:rPr>
        <w:t xml:space="preserve"> </w:t>
      </w:r>
      <w:r>
        <w:rPr>
          <w:rFonts w:hint="default" w:asciiTheme="minorAscii" w:hAnsiTheme="minorAscii"/>
          <w:sz w:val="22"/>
          <w:szCs w:val="22"/>
        </w:rPr>
        <w:t>споразума</w:t>
      </w:r>
      <w:r>
        <w:rPr>
          <w:rFonts w:hint="default" w:asciiTheme="minorAscii" w:hAnsiTheme="minorAscii"/>
          <w:spacing w:val="-8"/>
          <w:sz w:val="22"/>
          <w:szCs w:val="22"/>
        </w:rPr>
        <w:t xml:space="preserve"> </w:t>
      </w:r>
      <w:r>
        <w:rPr>
          <w:rFonts w:hint="default" w:asciiTheme="minorAscii" w:hAnsiTheme="minorAscii"/>
          <w:sz w:val="22"/>
          <w:szCs w:val="22"/>
        </w:rPr>
        <w:t>између Републике Србије и Европске комисије о правилима за спровођење финансијске помоћи Европске уније Републици Србији у оквиру инструмента за претприступну помоћ (ИПА II) (''Службени</w:t>
      </w:r>
      <w:r>
        <w:rPr>
          <w:rFonts w:hint="default" w:asciiTheme="minorAscii" w:hAnsiTheme="minorAscii"/>
          <w:spacing w:val="60"/>
          <w:sz w:val="22"/>
          <w:szCs w:val="22"/>
        </w:rPr>
        <w:t xml:space="preserve"> </w:t>
      </w:r>
      <w:r>
        <w:rPr>
          <w:rFonts w:hint="default" w:asciiTheme="minorAscii" w:hAnsiTheme="minorAscii"/>
          <w:sz w:val="22"/>
          <w:szCs w:val="22"/>
        </w:rPr>
        <w:t>гласник</w:t>
      </w:r>
      <w:r>
        <w:rPr>
          <w:rFonts w:hint="default" w:asciiTheme="minorAscii" w:hAnsiTheme="minorAscii"/>
          <w:spacing w:val="59"/>
          <w:sz w:val="22"/>
          <w:szCs w:val="22"/>
        </w:rPr>
        <w:t xml:space="preserve"> </w:t>
      </w:r>
      <w:r>
        <w:rPr>
          <w:rFonts w:hint="default" w:asciiTheme="minorAscii" w:hAnsiTheme="minorAscii"/>
          <w:sz w:val="22"/>
          <w:szCs w:val="22"/>
        </w:rPr>
        <w:t>РС</w:t>
      </w:r>
      <w:r>
        <w:rPr>
          <w:rFonts w:hint="default" w:asciiTheme="minorAscii" w:hAnsiTheme="minorAscii"/>
          <w:spacing w:val="63"/>
          <w:sz w:val="22"/>
          <w:szCs w:val="22"/>
        </w:rPr>
        <w:t xml:space="preserve"> </w:t>
      </w:r>
      <w:r>
        <w:rPr>
          <w:rFonts w:hint="default" w:asciiTheme="minorAscii" w:hAnsiTheme="minorAscii"/>
          <w:sz w:val="22"/>
          <w:szCs w:val="22"/>
        </w:rPr>
        <w:t>–</w:t>
      </w:r>
      <w:r>
        <w:rPr>
          <w:rFonts w:hint="default" w:asciiTheme="minorAscii" w:hAnsiTheme="minorAscii"/>
          <w:spacing w:val="60"/>
          <w:sz w:val="22"/>
          <w:szCs w:val="22"/>
        </w:rPr>
        <w:t xml:space="preserve"> </w:t>
      </w:r>
      <w:r>
        <w:rPr>
          <w:rFonts w:hint="default" w:asciiTheme="minorAscii" w:hAnsiTheme="minorAscii"/>
          <w:sz w:val="22"/>
          <w:szCs w:val="22"/>
        </w:rPr>
        <w:t>међународни</w:t>
      </w:r>
      <w:r>
        <w:rPr>
          <w:rFonts w:hint="default" w:asciiTheme="minorAscii" w:hAnsiTheme="minorAscii"/>
          <w:spacing w:val="62"/>
          <w:sz w:val="22"/>
          <w:szCs w:val="22"/>
        </w:rPr>
        <w:t xml:space="preserve"> </w:t>
      </w:r>
      <w:r>
        <w:rPr>
          <w:rFonts w:hint="default" w:asciiTheme="minorAscii" w:hAnsiTheme="minorAscii"/>
          <w:sz w:val="22"/>
          <w:szCs w:val="22"/>
        </w:rPr>
        <w:t>уговори''</w:t>
      </w:r>
      <w:r>
        <w:rPr>
          <w:rFonts w:hint="default" w:asciiTheme="minorAscii" w:hAnsiTheme="minorAscii"/>
          <w:spacing w:val="56"/>
          <w:sz w:val="22"/>
          <w:szCs w:val="22"/>
        </w:rPr>
        <w:t xml:space="preserve"> </w:t>
      </w:r>
      <w:r>
        <w:rPr>
          <w:rFonts w:hint="default" w:asciiTheme="minorAscii" w:hAnsiTheme="minorAscii"/>
          <w:sz w:val="22"/>
          <w:szCs w:val="22"/>
        </w:rPr>
        <w:t>број:</w:t>
      </w:r>
      <w:r>
        <w:rPr>
          <w:rFonts w:hint="default" w:asciiTheme="minorAscii" w:hAnsiTheme="minorAscii"/>
          <w:spacing w:val="60"/>
          <w:sz w:val="22"/>
          <w:szCs w:val="22"/>
        </w:rPr>
        <w:t xml:space="preserve"> </w:t>
      </w:r>
      <w:r>
        <w:rPr>
          <w:rFonts w:hint="default" w:asciiTheme="minorAscii" w:hAnsiTheme="minorAscii"/>
          <w:sz w:val="22"/>
          <w:szCs w:val="22"/>
        </w:rPr>
        <w:t>19/14)</w:t>
      </w:r>
      <w:r>
        <w:rPr>
          <w:rFonts w:hint="default" w:asciiTheme="minorAscii" w:hAnsiTheme="minorAscii"/>
          <w:spacing w:val="59"/>
          <w:sz w:val="22"/>
          <w:szCs w:val="22"/>
        </w:rPr>
        <w:t xml:space="preserve"> </w:t>
      </w:r>
      <w:r>
        <w:rPr>
          <w:rFonts w:hint="default" w:asciiTheme="minorAscii" w:hAnsiTheme="minorAscii"/>
          <w:sz w:val="22"/>
          <w:szCs w:val="22"/>
        </w:rPr>
        <w:t>и</w:t>
      </w:r>
      <w:r>
        <w:rPr>
          <w:rFonts w:hint="default" w:asciiTheme="minorAscii" w:hAnsiTheme="minorAscii"/>
          <w:spacing w:val="60"/>
          <w:sz w:val="22"/>
          <w:szCs w:val="22"/>
        </w:rPr>
        <w:t xml:space="preserve"> </w:t>
      </w:r>
      <w:r>
        <w:rPr>
          <w:rFonts w:hint="default" w:asciiTheme="minorAscii" w:hAnsiTheme="minorAscii"/>
          <w:sz w:val="22"/>
          <w:szCs w:val="22"/>
        </w:rPr>
        <w:t>Законом</w:t>
      </w:r>
      <w:r>
        <w:rPr>
          <w:rFonts w:hint="default" w:asciiTheme="minorAscii" w:hAnsiTheme="minorAscii"/>
          <w:spacing w:val="58"/>
          <w:sz w:val="22"/>
          <w:szCs w:val="22"/>
        </w:rPr>
        <w:t xml:space="preserve"> </w:t>
      </w:r>
      <w:r>
        <w:rPr>
          <w:rFonts w:hint="default" w:asciiTheme="minorAscii" w:hAnsiTheme="minorAscii"/>
          <w:sz w:val="22"/>
          <w:szCs w:val="22"/>
        </w:rPr>
        <w:t>о</w:t>
      </w:r>
      <w:r>
        <w:rPr>
          <w:rFonts w:hint="default" w:asciiTheme="minorAscii" w:hAnsiTheme="minorAscii"/>
          <w:spacing w:val="60"/>
          <w:sz w:val="22"/>
          <w:szCs w:val="22"/>
        </w:rPr>
        <w:t xml:space="preserve"> </w:t>
      </w:r>
      <w:r>
        <w:rPr>
          <w:rFonts w:hint="default" w:asciiTheme="minorAscii" w:hAnsiTheme="minorAscii"/>
          <w:spacing w:val="-2"/>
          <w:sz w:val="22"/>
          <w:szCs w:val="22"/>
        </w:rPr>
        <w:t>потврђивању</w:t>
      </w:r>
      <w:r>
        <w:rPr>
          <w:rFonts w:hint="default" w:asciiTheme="minorAscii" w:hAnsiTheme="minorAscii"/>
          <w:sz w:val="22"/>
          <w:szCs w:val="22"/>
        </w:rPr>
        <w:t>Оквирног споразума о финансијском партнерству између Републике Србије и Европске комисије о правилима за спровођење финансијске помоћи Европске уније Републици Србији у оквиру инструмента за претприступну помоћ (ИПА III) („Службени гласник РС – међународни уговори”, број: 6/22 од 12. децембра 2022. године).</w:t>
      </w:r>
    </w:p>
    <w:p w14:paraId="664A8269">
      <w:pPr>
        <w:pStyle w:val="6"/>
        <w:spacing w:before="54"/>
        <w:ind w:left="14" w:right="291" w:firstLine="725"/>
        <w:rPr>
          <w:rFonts w:hint="default" w:asciiTheme="minorAscii" w:hAnsiTheme="minorAscii"/>
          <w:sz w:val="22"/>
          <w:szCs w:val="22"/>
        </w:rPr>
      </w:pPr>
      <w:r>
        <w:rPr>
          <w:rFonts w:hint="default" w:asciiTheme="minorAscii" w:hAnsiTheme="minorAscii"/>
          <w:sz w:val="22"/>
          <w:szCs w:val="22"/>
        </w:rPr>
        <w:t>На основу финансијских споразума потписаних између Владе Републике Србије и Европске</w:t>
      </w:r>
      <w:r>
        <w:rPr>
          <w:rFonts w:hint="default" w:asciiTheme="minorAscii" w:hAnsiTheme="minorAscii"/>
          <w:spacing w:val="-14"/>
          <w:sz w:val="22"/>
          <w:szCs w:val="22"/>
        </w:rPr>
        <w:t xml:space="preserve"> </w:t>
      </w:r>
      <w:r>
        <w:rPr>
          <w:rFonts w:hint="default" w:asciiTheme="minorAscii" w:hAnsiTheme="minorAscii"/>
          <w:sz w:val="22"/>
          <w:szCs w:val="22"/>
        </w:rPr>
        <w:t>комисије,</w:t>
      </w:r>
      <w:r>
        <w:rPr>
          <w:rFonts w:hint="default" w:asciiTheme="minorAscii" w:hAnsiTheme="minorAscii"/>
          <w:spacing w:val="-14"/>
          <w:sz w:val="22"/>
          <w:szCs w:val="22"/>
        </w:rPr>
        <w:t xml:space="preserve"> </w:t>
      </w:r>
      <w:r>
        <w:rPr>
          <w:rFonts w:hint="default" w:asciiTheme="minorAscii" w:hAnsiTheme="minorAscii"/>
          <w:sz w:val="22"/>
          <w:szCs w:val="22"/>
        </w:rPr>
        <w:t>који</w:t>
      </w:r>
      <w:r>
        <w:rPr>
          <w:rFonts w:hint="default" w:asciiTheme="minorAscii" w:hAnsiTheme="minorAscii"/>
          <w:spacing w:val="-12"/>
          <w:sz w:val="22"/>
          <w:szCs w:val="22"/>
        </w:rPr>
        <w:t xml:space="preserve"> </w:t>
      </w:r>
      <w:r>
        <w:rPr>
          <w:rFonts w:hint="default" w:asciiTheme="minorAscii" w:hAnsiTheme="minorAscii"/>
          <w:sz w:val="22"/>
          <w:szCs w:val="22"/>
        </w:rPr>
        <w:t>се</w:t>
      </w:r>
      <w:r>
        <w:rPr>
          <w:rFonts w:hint="default" w:asciiTheme="minorAscii" w:hAnsiTheme="minorAscii"/>
          <w:spacing w:val="-14"/>
          <w:sz w:val="22"/>
          <w:szCs w:val="22"/>
        </w:rPr>
        <w:t xml:space="preserve"> </w:t>
      </w:r>
      <w:r>
        <w:rPr>
          <w:rFonts w:hint="default" w:asciiTheme="minorAscii" w:hAnsiTheme="minorAscii"/>
          <w:sz w:val="22"/>
          <w:szCs w:val="22"/>
        </w:rPr>
        <w:t>односе</w:t>
      </w:r>
      <w:r>
        <w:rPr>
          <w:rFonts w:hint="default" w:asciiTheme="minorAscii" w:hAnsiTheme="minorAscii"/>
          <w:spacing w:val="-14"/>
          <w:sz w:val="22"/>
          <w:szCs w:val="22"/>
        </w:rPr>
        <w:t xml:space="preserve"> </w:t>
      </w:r>
      <w:r>
        <w:rPr>
          <w:rFonts w:hint="default" w:asciiTheme="minorAscii" w:hAnsiTheme="minorAscii"/>
          <w:sz w:val="22"/>
          <w:szCs w:val="22"/>
        </w:rPr>
        <w:t>на</w:t>
      </w:r>
      <w:r>
        <w:rPr>
          <w:rFonts w:hint="default" w:asciiTheme="minorAscii" w:hAnsiTheme="minorAscii"/>
          <w:spacing w:val="-12"/>
          <w:sz w:val="22"/>
          <w:szCs w:val="22"/>
        </w:rPr>
        <w:t xml:space="preserve"> </w:t>
      </w:r>
      <w:r>
        <w:rPr>
          <w:rFonts w:hint="default" w:asciiTheme="minorAscii" w:hAnsiTheme="minorAscii"/>
          <w:sz w:val="22"/>
          <w:szCs w:val="22"/>
        </w:rPr>
        <w:t>спровођење</w:t>
      </w:r>
      <w:r>
        <w:rPr>
          <w:rFonts w:hint="default" w:asciiTheme="minorAscii" w:hAnsiTheme="minorAscii"/>
          <w:spacing w:val="-14"/>
          <w:sz w:val="22"/>
          <w:szCs w:val="22"/>
        </w:rPr>
        <w:t xml:space="preserve"> </w:t>
      </w:r>
      <w:r>
        <w:rPr>
          <w:rFonts w:hint="default" w:asciiTheme="minorAscii" w:hAnsiTheme="minorAscii"/>
          <w:sz w:val="22"/>
          <w:szCs w:val="22"/>
        </w:rPr>
        <w:t>пројеката</w:t>
      </w:r>
      <w:r>
        <w:rPr>
          <w:rFonts w:hint="default" w:asciiTheme="minorAscii" w:hAnsiTheme="minorAscii"/>
          <w:spacing w:val="-14"/>
          <w:sz w:val="22"/>
          <w:szCs w:val="22"/>
        </w:rPr>
        <w:t xml:space="preserve"> </w:t>
      </w:r>
      <w:r>
        <w:rPr>
          <w:rFonts w:hint="default" w:asciiTheme="minorAscii" w:hAnsiTheme="minorAscii"/>
          <w:sz w:val="22"/>
          <w:szCs w:val="22"/>
        </w:rPr>
        <w:t>претприступне</w:t>
      </w:r>
      <w:r>
        <w:rPr>
          <w:rFonts w:hint="default" w:asciiTheme="minorAscii" w:hAnsiTheme="minorAscii"/>
          <w:spacing w:val="-12"/>
          <w:sz w:val="22"/>
          <w:szCs w:val="22"/>
        </w:rPr>
        <w:t xml:space="preserve"> </w:t>
      </w:r>
      <w:r>
        <w:rPr>
          <w:rFonts w:hint="default" w:asciiTheme="minorAscii" w:hAnsiTheme="minorAscii"/>
          <w:sz w:val="22"/>
          <w:szCs w:val="22"/>
        </w:rPr>
        <w:t>помоћи</w:t>
      </w:r>
      <w:r>
        <w:rPr>
          <w:rFonts w:hint="default" w:asciiTheme="minorAscii" w:hAnsiTheme="minorAscii"/>
          <w:spacing w:val="-12"/>
          <w:sz w:val="22"/>
          <w:szCs w:val="22"/>
        </w:rPr>
        <w:t xml:space="preserve"> </w:t>
      </w:r>
      <w:r>
        <w:rPr>
          <w:rFonts w:hint="default" w:asciiTheme="minorAscii" w:hAnsiTheme="minorAscii"/>
          <w:sz w:val="22"/>
          <w:szCs w:val="22"/>
        </w:rPr>
        <w:t>неопходно је обезбедити одговарајући износ средства националног учешћа.</w:t>
      </w:r>
    </w:p>
    <w:p w14:paraId="004041A2">
      <w:pPr>
        <w:pStyle w:val="6"/>
        <w:spacing w:before="149"/>
        <w:ind w:left="14" w:right="290" w:firstLine="725"/>
        <w:rPr>
          <w:rFonts w:hint="default" w:asciiTheme="minorAscii" w:hAnsiTheme="minorAscii"/>
          <w:sz w:val="22"/>
          <w:szCs w:val="22"/>
        </w:rPr>
      </w:pPr>
      <w:r>
        <w:rPr>
          <w:rFonts w:hint="default" w:asciiTheme="minorAscii" w:hAnsiTheme="minorAscii"/>
          <w:sz w:val="22"/>
          <w:szCs w:val="22"/>
        </w:rPr>
        <w:t>Директни корисници средстава буџета локалне власти, у случају када су крајњи корисници програма и пројекта инструмента претприступне помоћи, дужни су да обезбеде износ</w:t>
      </w:r>
      <w:r>
        <w:rPr>
          <w:rFonts w:hint="default" w:asciiTheme="minorAscii" w:hAnsiTheme="minorAscii"/>
          <w:spacing w:val="-7"/>
          <w:sz w:val="22"/>
          <w:szCs w:val="22"/>
        </w:rPr>
        <w:t xml:space="preserve"> </w:t>
      </w:r>
      <w:r>
        <w:rPr>
          <w:rFonts w:hint="default" w:asciiTheme="minorAscii" w:hAnsiTheme="minorAscii"/>
          <w:sz w:val="22"/>
          <w:szCs w:val="22"/>
        </w:rPr>
        <w:t>националног</w:t>
      </w:r>
      <w:r>
        <w:rPr>
          <w:rFonts w:hint="default" w:asciiTheme="minorAscii" w:hAnsiTheme="minorAscii"/>
          <w:spacing w:val="-4"/>
          <w:sz w:val="22"/>
          <w:szCs w:val="22"/>
        </w:rPr>
        <w:t xml:space="preserve"> </w:t>
      </w:r>
      <w:r>
        <w:rPr>
          <w:rFonts w:hint="default" w:asciiTheme="minorAscii" w:hAnsiTheme="minorAscii"/>
          <w:sz w:val="22"/>
          <w:szCs w:val="22"/>
        </w:rPr>
        <w:t>учешћа</w:t>
      </w:r>
      <w:r>
        <w:rPr>
          <w:rFonts w:hint="default" w:asciiTheme="minorAscii" w:hAnsiTheme="minorAscii"/>
          <w:spacing w:val="-7"/>
          <w:sz w:val="22"/>
          <w:szCs w:val="22"/>
        </w:rPr>
        <w:t xml:space="preserve"> </w:t>
      </w:r>
      <w:r>
        <w:rPr>
          <w:rFonts w:hint="default" w:asciiTheme="minorAscii" w:hAnsiTheme="minorAscii"/>
          <w:sz w:val="22"/>
          <w:szCs w:val="22"/>
        </w:rPr>
        <w:t>према</w:t>
      </w:r>
      <w:r>
        <w:rPr>
          <w:rFonts w:hint="default" w:asciiTheme="minorAscii" w:hAnsiTheme="minorAscii"/>
          <w:spacing w:val="-7"/>
          <w:sz w:val="22"/>
          <w:szCs w:val="22"/>
        </w:rPr>
        <w:t xml:space="preserve"> </w:t>
      </w:r>
      <w:r>
        <w:rPr>
          <w:rFonts w:hint="default" w:asciiTheme="minorAscii" w:hAnsiTheme="minorAscii"/>
          <w:sz w:val="22"/>
          <w:szCs w:val="22"/>
        </w:rPr>
        <w:t>правилима</w:t>
      </w:r>
      <w:r>
        <w:rPr>
          <w:rFonts w:hint="default" w:asciiTheme="minorAscii" w:hAnsiTheme="minorAscii"/>
          <w:spacing w:val="-4"/>
          <w:sz w:val="22"/>
          <w:szCs w:val="22"/>
        </w:rPr>
        <w:t xml:space="preserve"> </w:t>
      </w:r>
      <w:r>
        <w:rPr>
          <w:rFonts w:hint="default" w:asciiTheme="minorAscii" w:hAnsiTheme="minorAscii"/>
          <w:sz w:val="22"/>
          <w:szCs w:val="22"/>
        </w:rPr>
        <w:t>уговарања</w:t>
      </w:r>
      <w:r>
        <w:rPr>
          <w:rFonts w:hint="default" w:asciiTheme="minorAscii" w:hAnsiTheme="minorAscii"/>
          <w:spacing w:val="-7"/>
          <w:sz w:val="22"/>
          <w:szCs w:val="22"/>
        </w:rPr>
        <w:t xml:space="preserve"> </w:t>
      </w:r>
      <w:r>
        <w:rPr>
          <w:rFonts w:hint="default" w:asciiTheme="minorAscii" w:hAnsiTheme="minorAscii"/>
          <w:sz w:val="22"/>
          <w:szCs w:val="22"/>
        </w:rPr>
        <w:t>и</w:t>
      </w:r>
      <w:r>
        <w:rPr>
          <w:rFonts w:hint="default" w:asciiTheme="minorAscii" w:hAnsiTheme="minorAscii"/>
          <w:spacing w:val="-5"/>
          <w:sz w:val="22"/>
          <w:szCs w:val="22"/>
        </w:rPr>
        <w:t xml:space="preserve"> </w:t>
      </w:r>
      <w:r>
        <w:rPr>
          <w:rFonts w:hint="default" w:asciiTheme="minorAscii" w:hAnsiTheme="minorAscii"/>
          <w:sz w:val="22"/>
          <w:szCs w:val="22"/>
        </w:rPr>
        <w:t>набавки</w:t>
      </w:r>
      <w:r>
        <w:rPr>
          <w:rFonts w:hint="default" w:asciiTheme="minorAscii" w:hAnsiTheme="minorAscii"/>
          <w:spacing w:val="-4"/>
          <w:sz w:val="22"/>
          <w:szCs w:val="22"/>
        </w:rPr>
        <w:t xml:space="preserve"> </w:t>
      </w:r>
      <w:r>
        <w:rPr>
          <w:rFonts w:hint="default" w:asciiTheme="minorAscii" w:hAnsiTheme="minorAscii"/>
          <w:sz w:val="22"/>
          <w:szCs w:val="22"/>
        </w:rPr>
        <w:t>које</w:t>
      </w:r>
      <w:r>
        <w:rPr>
          <w:rFonts w:hint="default" w:asciiTheme="minorAscii" w:hAnsiTheme="minorAscii"/>
          <w:spacing w:val="-6"/>
          <w:sz w:val="22"/>
          <w:szCs w:val="22"/>
        </w:rPr>
        <w:t xml:space="preserve"> </w:t>
      </w:r>
      <w:r>
        <w:rPr>
          <w:rFonts w:hint="default" w:asciiTheme="minorAscii" w:hAnsiTheme="minorAscii"/>
          <w:sz w:val="22"/>
          <w:szCs w:val="22"/>
        </w:rPr>
        <w:t>дефинише</w:t>
      </w:r>
      <w:r>
        <w:rPr>
          <w:rFonts w:hint="default" w:asciiTheme="minorAscii" w:hAnsiTheme="minorAscii"/>
          <w:spacing w:val="-7"/>
          <w:sz w:val="22"/>
          <w:szCs w:val="22"/>
        </w:rPr>
        <w:t xml:space="preserve"> </w:t>
      </w:r>
      <w:r>
        <w:rPr>
          <w:rFonts w:hint="default" w:asciiTheme="minorAscii" w:hAnsiTheme="minorAscii"/>
          <w:sz w:val="22"/>
          <w:szCs w:val="22"/>
        </w:rPr>
        <w:t>и</w:t>
      </w:r>
      <w:r>
        <w:rPr>
          <w:rFonts w:hint="default" w:asciiTheme="minorAscii" w:hAnsiTheme="minorAscii"/>
          <w:spacing w:val="-5"/>
          <w:sz w:val="22"/>
          <w:szCs w:val="22"/>
        </w:rPr>
        <w:t xml:space="preserve"> </w:t>
      </w:r>
      <w:r>
        <w:rPr>
          <w:rFonts w:hint="default" w:asciiTheme="minorAscii" w:hAnsiTheme="minorAscii"/>
          <w:sz w:val="22"/>
          <w:szCs w:val="22"/>
        </w:rPr>
        <w:t xml:space="preserve">објављује Европска комисија за спровођење спољних акција (тзв. </w:t>
      </w:r>
      <w:r>
        <w:rPr>
          <w:rFonts w:hint="default" w:asciiTheme="minorAscii" w:hAnsiTheme="minorAscii"/>
          <w:i/>
          <w:sz w:val="22"/>
          <w:szCs w:val="22"/>
        </w:rPr>
        <w:t xml:space="preserve">PRAG </w:t>
      </w:r>
      <w:r>
        <w:rPr>
          <w:rFonts w:hint="default" w:asciiTheme="minorAscii" w:hAnsiTheme="minorAscii"/>
          <w:sz w:val="22"/>
          <w:szCs w:val="22"/>
        </w:rPr>
        <w:t>правила</w:t>
      </w:r>
      <w:r>
        <w:rPr>
          <w:rFonts w:hint="default" w:asciiTheme="minorAscii" w:hAnsiTheme="minorAscii"/>
          <w:sz w:val="22"/>
          <w:szCs w:val="22"/>
          <w:vertAlign w:val="baseline"/>
        </w:rPr>
        <w:t>). Процедуру јавних набавки спроводи Тело за уговарање</w:t>
      </w:r>
      <w:r>
        <w:rPr>
          <w:rFonts w:hint="default" w:asciiTheme="minorAscii" w:hAnsiTheme="minorAscii"/>
          <w:spacing w:val="-15"/>
          <w:sz w:val="22"/>
          <w:szCs w:val="22"/>
          <w:vertAlign w:val="baseline"/>
        </w:rPr>
        <w:t xml:space="preserve">  </w:t>
      </w:r>
      <w:r>
        <w:rPr>
          <w:rFonts w:hint="default" w:asciiTheme="minorAscii" w:hAnsiTheme="minorAscii"/>
          <w:sz w:val="22"/>
          <w:szCs w:val="22"/>
          <w:vertAlign w:val="baseline"/>
        </w:rPr>
        <w:t>(Министарство финансија - Сектор за уговарање и финансирање програма из средстава ЕУ).</w:t>
      </w:r>
    </w:p>
    <w:p w14:paraId="246E2B41">
      <w:pPr>
        <w:pStyle w:val="6"/>
        <w:spacing w:before="147"/>
        <w:ind w:left="14" w:right="289" w:firstLine="725"/>
        <w:rPr>
          <w:rFonts w:hint="default" w:asciiTheme="minorAscii" w:hAnsiTheme="minorAscii"/>
          <w:sz w:val="22"/>
          <w:szCs w:val="22"/>
        </w:rPr>
      </w:pPr>
      <w:r>
        <w:rPr>
          <w:rFonts w:hint="default" w:asciiTheme="minorAscii" w:hAnsiTheme="minorAscii"/>
          <w:sz w:val="22"/>
          <w:szCs w:val="22"/>
        </w:rPr>
        <w:t xml:space="preserve">У моменту планирања финансијских средстава намењених за национално учешће на локалном нивоу у оквиру одобрених пројеката и програма, потребно је поштовати следећа </w:t>
      </w:r>
      <w:r>
        <w:rPr>
          <w:rFonts w:hint="default" w:asciiTheme="minorAscii" w:hAnsiTheme="minorAscii"/>
          <w:spacing w:val="-2"/>
          <w:sz w:val="22"/>
          <w:szCs w:val="22"/>
        </w:rPr>
        <w:t>правила:</w:t>
      </w:r>
    </w:p>
    <w:p w14:paraId="7898EDFB">
      <w:pPr>
        <w:pStyle w:val="20"/>
        <w:numPr>
          <w:ilvl w:val="0"/>
          <w:numId w:val="4"/>
        </w:numPr>
        <w:tabs>
          <w:tab w:val="left" w:pos="830"/>
        </w:tabs>
        <w:spacing w:before="203" w:after="0" w:line="285" w:lineRule="auto"/>
        <w:ind w:left="830" w:right="287" w:hanging="360"/>
        <w:jc w:val="both"/>
        <w:rPr>
          <w:rFonts w:hint="default" w:asciiTheme="minorAscii" w:hAnsiTheme="minorAscii"/>
          <w:sz w:val="22"/>
          <w:szCs w:val="22"/>
        </w:rPr>
      </w:pPr>
      <w:r>
        <w:rPr>
          <w:rFonts w:hint="default" w:asciiTheme="minorAscii" w:hAnsiTheme="minorAscii"/>
          <w:b/>
          <w:sz w:val="22"/>
          <w:szCs w:val="22"/>
          <w:u w:val="single"/>
        </w:rPr>
        <w:t>Корисници буџетских средстава одговорни су за правилно планирање, у складу</w:t>
      </w:r>
      <w:r>
        <w:rPr>
          <w:rFonts w:hint="default" w:asciiTheme="minorAscii" w:hAnsiTheme="minorAscii"/>
          <w:b/>
          <w:sz w:val="22"/>
          <w:szCs w:val="22"/>
        </w:rPr>
        <w:t xml:space="preserve"> </w:t>
      </w:r>
      <w:r>
        <w:rPr>
          <w:rFonts w:hint="default" w:asciiTheme="minorAscii" w:hAnsiTheme="minorAscii"/>
          <w:b/>
          <w:sz w:val="22"/>
          <w:szCs w:val="22"/>
          <w:u w:val="single"/>
        </w:rPr>
        <w:t>са предвиђеном динамиком спровођења, износа расхода и/или издатака за</w:t>
      </w:r>
      <w:r>
        <w:rPr>
          <w:rFonts w:hint="default" w:asciiTheme="minorAscii" w:hAnsiTheme="minorAscii"/>
          <w:b/>
          <w:sz w:val="22"/>
          <w:szCs w:val="22"/>
        </w:rPr>
        <w:t xml:space="preserve"> </w:t>
      </w:r>
      <w:r>
        <w:rPr>
          <w:rFonts w:hint="default" w:asciiTheme="minorAscii" w:hAnsiTheme="minorAscii"/>
          <w:b/>
          <w:sz w:val="22"/>
          <w:szCs w:val="22"/>
          <w:u w:val="single"/>
        </w:rPr>
        <w:t>финансирање</w:t>
      </w:r>
      <w:r>
        <w:rPr>
          <w:rFonts w:hint="default" w:asciiTheme="minorAscii" w:hAnsiTheme="minorAscii"/>
          <w:b/>
          <w:spacing w:val="-3"/>
          <w:sz w:val="22"/>
          <w:szCs w:val="22"/>
          <w:u w:val="single"/>
        </w:rPr>
        <w:t xml:space="preserve"> </w:t>
      </w:r>
      <w:r>
        <w:rPr>
          <w:rFonts w:hint="default" w:asciiTheme="minorAscii" w:hAnsiTheme="minorAscii"/>
          <w:b/>
          <w:sz w:val="22"/>
          <w:szCs w:val="22"/>
          <w:u w:val="single"/>
        </w:rPr>
        <w:t>учешћа Републике</w:t>
      </w:r>
      <w:r>
        <w:rPr>
          <w:rFonts w:hint="default" w:asciiTheme="minorAscii" w:hAnsiTheme="minorAscii"/>
          <w:b/>
          <w:spacing w:val="-3"/>
          <w:sz w:val="22"/>
          <w:szCs w:val="22"/>
          <w:u w:val="single"/>
        </w:rPr>
        <w:t xml:space="preserve"> </w:t>
      </w:r>
      <w:r>
        <w:rPr>
          <w:rFonts w:hint="default" w:asciiTheme="minorAscii" w:hAnsiTheme="minorAscii"/>
          <w:b/>
          <w:sz w:val="22"/>
          <w:szCs w:val="22"/>
          <w:u w:val="single"/>
        </w:rPr>
        <w:t>Србије</w:t>
      </w:r>
      <w:r>
        <w:rPr>
          <w:rFonts w:hint="default" w:asciiTheme="minorAscii" w:hAnsiTheme="minorAscii"/>
          <w:b/>
          <w:spacing w:val="-4"/>
          <w:sz w:val="22"/>
          <w:szCs w:val="22"/>
          <w:u w:val="single"/>
        </w:rPr>
        <w:t xml:space="preserve"> </w:t>
      </w:r>
      <w:r>
        <w:rPr>
          <w:rFonts w:hint="default" w:asciiTheme="minorAscii" w:hAnsiTheme="minorAscii"/>
          <w:b/>
          <w:sz w:val="22"/>
          <w:szCs w:val="22"/>
          <w:u w:val="single"/>
        </w:rPr>
        <w:t>у</w:t>
      </w:r>
      <w:r>
        <w:rPr>
          <w:rFonts w:hint="default" w:asciiTheme="minorAscii" w:hAnsiTheme="minorAscii"/>
          <w:b/>
          <w:spacing w:val="-2"/>
          <w:sz w:val="22"/>
          <w:szCs w:val="22"/>
          <w:u w:val="single"/>
        </w:rPr>
        <w:t xml:space="preserve"> </w:t>
      </w:r>
      <w:r>
        <w:rPr>
          <w:rFonts w:hint="default" w:asciiTheme="minorAscii" w:hAnsiTheme="minorAscii"/>
          <w:b/>
          <w:sz w:val="22"/>
          <w:szCs w:val="22"/>
          <w:u w:val="single"/>
        </w:rPr>
        <w:t>спровођењу</w:t>
      </w:r>
      <w:r>
        <w:rPr>
          <w:rFonts w:hint="default" w:asciiTheme="minorAscii" w:hAnsiTheme="minorAscii"/>
          <w:b/>
          <w:spacing w:val="-2"/>
          <w:sz w:val="22"/>
          <w:szCs w:val="22"/>
          <w:u w:val="single"/>
        </w:rPr>
        <w:t xml:space="preserve"> </w:t>
      </w:r>
      <w:r>
        <w:rPr>
          <w:rFonts w:hint="default" w:asciiTheme="minorAscii" w:hAnsiTheme="minorAscii"/>
          <w:b/>
          <w:sz w:val="22"/>
          <w:szCs w:val="22"/>
          <w:u w:val="single"/>
        </w:rPr>
        <w:t>финансијске</w:t>
      </w:r>
      <w:r>
        <w:rPr>
          <w:rFonts w:hint="default" w:asciiTheme="minorAscii" w:hAnsiTheme="minorAscii"/>
          <w:b/>
          <w:spacing w:val="-3"/>
          <w:sz w:val="22"/>
          <w:szCs w:val="22"/>
          <w:u w:val="single"/>
        </w:rPr>
        <w:t xml:space="preserve"> </w:t>
      </w:r>
      <w:r>
        <w:rPr>
          <w:rFonts w:hint="default" w:asciiTheme="minorAscii" w:hAnsiTheme="minorAscii"/>
          <w:b/>
          <w:sz w:val="22"/>
          <w:szCs w:val="22"/>
          <w:u w:val="single"/>
        </w:rPr>
        <w:t>помоћи</w:t>
      </w:r>
      <w:r>
        <w:rPr>
          <w:rFonts w:hint="default" w:asciiTheme="minorAscii" w:hAnsiTheme="minorAscii"/>
          <w:b/>
          <w:spacing w:val="-2"/>
          <w:sz w:val="22"/>
          <w:szCs w:val="22"/>
          <w:u w:val="single"/>
        </w:rPr>
        <w:t xml:space="preserve"> </w:t>
      </w:r>
      <w:r>
        <w:rPr>
          <w:rFonts w:hint="default" w:asciiTheme="minorAscii" w:hAnsiTheme="minorAscii"/>
          <w:b/>
          <w:sz w:val="22"/>
          <w:szCs w:val="22"/>
          <w:u w:val="single"/>
        </w:rPr>
        <w:t>ЕУ</w:t>
      </w:r>
      <w:r>
        <w:rPr>
          <w:rFonts w:hint="default" w:asciiTheme="minorAscii" w:hAnsiTheme="minorAscii"/>
          <w:sz w:val="22"/>
          <w:szCs w:val="22"/>
          <w:vertAlign w:val="baseline"/>
        </w:rPr>
        <w:t>;</w:t>
      </w:r>
    </w:p>
    <w:p w14:paraId="70CA2EB9">
      <w:pPr>
        <w:pStyle w:val="6"/>
        <w:spacing w:before="17"/>
        <w:jc w:val="left"/>
        <w:rPr>
          <w:rFonts w:hint="default" w:asciiTheme="minorAscii" w:hAnsiTheme="minorAscii"/>
          <w:sz w:val="22"/>
          <w:szCs w:val="22"/>
        </w:rPr>
      </w:pPr>
    </w:p>
    <w:p w14:paraId="7E016B10">
      <w:pPr>
        <w:pStyle w:val="20"/>
        <w:numPr>
          <w:ilvl w:val="0"/>
          <w:numId w:val="4"/>
        </w:numPr>
        <w:tabs>
          <w:tab w:val="left" w:pos="830"/>
        </w:tabs>
        <w:spacing w:before="0" w:after="0" w:line="285" w:lineRule="auto"/>
        <w:ind w:left="830" w:right="289" w:hanging="360"/>
        <w:jc w:val="both"/>
        <w:rPr>
          <w:rFonts w:hint="default" w:asciiTheme="minorAscii" w:hAnsiTheme="minorAscii"/>
          <w:sz w:val="22"/>
          <w:szCs w:val="22"/>
        </w:rPr>
      </w:pPr>
      <w:r>
        <w:rPr>
          <w:rFonts w:hint="default" w:asciiTheme="minorAscii" w:hAnsiTheme="minorAscii"/>
          <w:b/>
          <w:sz w:val="22"/>
          <w:szCs w:val="22"/>
          <w:u w:val="single"/>
        </w:rPr>
        <w:t>Буџетски корисници, који не испланирају довољан износ средстава за</w:t>
      </w:r>
      <w:r>
        <w:rPr>
          <w:rFonts w:hint="default" w:asciiTheme="minorAscii" w:hAnsiTheme="minorAscii"/>
          <w:b/>
          <w:sz w:val="22"/>
          <w:szCs w:val="22"/>
        </w:rPr>
        <w:t xml:space="preserve"> </w:t>
      </w:r>
      <w:r>
        <w:rPr>
          <w:rFonts w:hint="default" w:asciiTheme="minorAscii" w:hAnsiTheme="minorAscii"/>
          <w:b/>
          <w:sz w:val="22"/>
          <w:szCs w:val="22"/>
          <w:u w:val="single"/>
        </w:rPr>
        <w:t>финансирање учешћа Републике Србије у спровођењу финансијске помоћи ЕУ,</w:t>
      </w:r>
      <w:r>
        <w:rPr>
          <w:rFonts w:hint="default" w:asciiTheme="minorAscii" w:hAnsiTheme="minorAscii"/>
          <w:b/>
          <w:sz w:val="22"/>
          <w:szCs w:val="22"/>
        </w:rPr>
        <w:t xml:space="preserve"> </w:t>
      </w:r>
      <w:r>
        <w:rPr>
          <w:rFonts w:hint="default" w:asciiTheme="minorAscii" w:hAnsiTheme="minorAscii"/>
          <w:b/>
          <w:sz w:val="22"/>
          <w:szCs w:val="22"/>
          <w:u w:val="single"/>
        </w:rPr>
        <w:t>морају да изврше преусмеравање средстава са других својих апропријација</w:t>
      </w:r>
      <w:r>
        <w:rPr>
          <w:rFonts w:hint="default" w:asciiTheme="minorAscii" w:hAnsiTheme="minorAscii"/>
          <w:b/>
          <w:sz w:val="22"/>
          <w:szCs w:val="22"/>
        </w:rPr>
        <w:t xml:space="preserve"> </w:t>
      </w:r>
      <w:r>
        <w:rPr>
          <w:rFonts w:hint="default" w:asciiTheme="minorAscii" w:hAnsiTheme="minorAscii"/>
          <w:b/>
          <w:sz w:val="22"/>
          <w:szCs w:val="22"/>
          <w:u w:val="single"/>
        </w:rPr>
        <w:t>и/или програма</w:t>
      </w:r>
      <w:r>
        <w:rPr>
          <w:rFonts w:hint="default" w:asciiTheme="minorAscii" w:hAnsiTheme="minorAscii"/>
          <w:sz w:val="22"/>
          <w:szCs w:val="22"/>
          <w:vertAlign w:val="baseline"/>
        </w:rPr>
        <w:t>;</w:t>
      </w:r>
    </w:p>
    <w:p w14:paraId="72A90923">
      <w:pPr>
        <w:pStyle w:val="6"/>
        <w:spacing w:before="18"/>
        <w:jc w:val="left"/>
        <w:rPr>
          <w:rFonts w:hint="default" w:asciiTheme="minorAscii" w:hAnsiTheme="minorAscii"/>
          <w:sz w:val="22"/>
          <w:szCs w:val="22"/>
        </w:rPr>
      </w:pPr>
    </w:p>
    <w:p w14:paraId="5F08F990">
      <w:pPr>
        <w:pStyle w:val="20"/>
        <w:numPr>
          <w:ilvl w:val="0"/>
          <w:numId w:val="4"/>
        </w:numPr>
        <w:tabs>
          <w:tab w:val="left" w:pos="830"/>
        </w:tabs>
        <w:spacing w:before="0" w:after="0" w:line="290" w:lineRule="auto"/>
        <w:ind w:left="830" w:right="297" w:hanging="360"/>
        <w:jc w:val="left"/>
        <w:rPr>
          <w:rFonts w:hint="default" w:asciiTheme="minorAscii" w:hAnsiTheme="minorAscii"/>
          <w:b/>
          <w:sz w:val="22"/>
          <w:szCs w:val="22"/>
        </w:rPr>
      </w:pPr>
      <w:r>
        <w:rPr>
          <w:rFonts w:hint="default" w:asciiTheme="minorAscii" w:hAnsiTheme="minorAscii"/>
          <w:b/>
          <w:sz w:val="22"/>
          <w:szCs w:val="22"/>
          <w:u w:val="single"/>
        </w:rPr>
        <w:t>Средства</w:t>
      </w:r>
      <w:r>
        <w:rPr>
          <w:rFonts w:hint="default" w:asciiTheme="minorAscii" w:hAnsiTheme="minorAscii"/>
          <w:b/>
          <w:spacing w:val="30"/>
          <w:sz w:val="22"/>
          <w:szCs w:val="22"/>
          <w:u w:val="single"/>
        </w:rPr>
        <w:t xml:space="preserve"> </w:t>
      </w:r>
      <w:r>
        <w:rPr>
          <w:rFonts w:hint="default" w:asciiTheme="minorAscii" w:hAnsiTheme="minorAscii"/>
          <w:b/>
          <w:sz w:val="22"/>
          <w:szCs w:val="22"/>
          <w:u w:val="single"/>
        </w:rPr>
        <w:t>планирана</w:t>
      </w:r>
      <w:r>
        <w:rPr>
          <w:rFonts w:hint="default" w:asciiTheme="minorAscii" w:hAnsiTheme="minorAscii"/>
          <w:b/>
          <w:spacing w:val="28"/>
          <w:sz w:val="22"/>
          <w:szCs w:val="22"/>
          <w:u w:val="single"/>
        </w:rPr>
        <w:t xml:space="preserve"> </w:t>
      </w:r>
      <w:r>
        <w:rPr>
          <w:rFonts w:hint="default" w:asciiTheme="minorAscii" w:hAnsiTheme="minorAscii"/>
          <w:b/>
          <w:sz w:val="22"/>
          <w:szCs w:val="22"/>
          <w:u w:val="single"/>
        </w:rPr>
        <w:t>за</w:t>
      </w:r>
      <w:r>
        <w:rPr>
          <w:rFonts w:hint="default" w:asciiTheme="minorAscii" w:hAnsiTheme="minorAscii"/>
          <w:b/>
          <w:spacing w:val="30"/>
          <w:sz w:val="22"/>
          <w:szCs w:val="22"/>
          <w:u w:val="single"/>
        </w:rPr>
        <w:t xml:space="preserve"> </w:t>
      </w:r>
      <w:r>
        <w:rPr>
          <w:rFonts w:hint="default" w:asciiTheme="minorAscii" w:hAnsiTheme="minorAscii"/>
          <w:b/>
          <w:sz w:val="22"/>
          <w:szCs w:val="22"/>
          <w:u w:val="single"/>
        </w:rPr>
        <w:t>финансирање</w:t>
      </w:r>
      <w:r>
        <w:rPr>
          <w:rFonts w:hint="default" w:asciiTheme="minorAscii" w:hAnsiTheme="minorAscii"/>
          <w:b/>
          <w:spacing w:val="29"/>
          <w:sz w:val="22"/>
          <w:szCs w:val="22"/>
          <w:u w:val="single"/>
        </w:rPr>
        <w:t xml:space="preserve"> </w:t>
      </w:r>
      <w:r>
        <w:rPr>
          <w:rFonts w:hint="default" w:asciiTheme="minorAscii" w:hAnsiTheme="minorAscii"/>
          <w:b/>
          <w:sz w:val="22"/>
          <w:szCs w:val="22"/>
          <w:u w:val="single"/>
        </w:rPr>
        <w:t>учешћа</w:t>
      </w:r>
      <w:r>
        <w:rPr>
          <w:rFonts w:hint="default" w:asciiTheme="minorAscii" w:hAnsiTheme="minorAscii"/>
          <w:b/>
          <w:spacing w:val="33"/>
          <w:sz w:val="22"/>
          <w:szCs w:val="22"/>
          <w:u w:val="single"/>
        </w:rPr>
        <w:t xml:space="preserve"> </w:t>
      </w:r>
      <w:r>
        <w:rPr>
          <w:rFonts w:hint="default" w:asciiTheme="minorAscii" w:hAnsiTheme="minorAscii"/>
          <w:b/>
          <w:sz w:val="22"/>
          <w:szCs w:val="22"/>
          <w:u w:val="single"/>
        </w:rPr>
        <w:t>Републике</w:t>
      </w:r>
      <w:r>
        <w:rPr>
          <w:rFonts w:hint="default" w:asciiTheme="minorAscii" w:hAnsiTheme="minorAscii"/>
          <w:b/>
          <w:spacing w:val="29"/>
          <w:sz w:val="22"/>
          <w:szCs w:val="22"/>
          <w:u w:val="single"/>
        </w:rPr>
        <w:t xml:space="preserve"> </w:t>
      </w:r>
      <w:r>
        <w:rPr>
          <w:rFonts w:hint="default" w:asciiTheme="minorAscii" w:hAnsiTheme="minorAscii"/>
          <w:b/>
          <w:sz w:val="22"/>
          <w:szCs w:val="22"/>
          <w:u w:val="single"/>
        </w:rPr>
        <w:t>Србије</w:t>
      </w:r>
      <w:r>
        <w:rPr>
          <w:rFonts w:hint="default" w:asciiTheme="minorAscii" w:hAnsiTheme="minorAscii"/>
          <w:b/>
          <w:spacing w:val="29"/>
          <w:sz w:val="22"/>
          <w:szCs w:val="22"/>
          <w:u w:val="single"/>
        </w:rPr>
        <w:t xml:space="preserve"> </w:t>
      </w:r>
      <w:r>
        <w:rPr>
          <w:rFonts w:hint="default" w:asciiTheme="minorAscii" w:hAnsiTheme="minorAscii"/>
          <w:b/>
          <w:sz w:val="22"/>
          <w:szCs w:val="22"/>
          <w:u w:val="single"/>
        </w:rPr>
        <w:t>у</w:t>
      </w:r>
      <w:r>
        <w:rPr>
          <w:rFonts w:hint="default" w:asciiTheme="minorAscii" w:hAnsiTheme="minorAscii"/>
          <w:b/>
          <w:spacing w:val="30"/>
          <w:sz w:val="22"/>
          <w:szCs w:val="22"/>
          <w:u w:val="single"/>
        </w:rPr>
        <w:t xml:space="preserve"> </w:t>
      </w:r>
      <w:r>
        <w:rPr>
          <w:rFonts w:hint="default" w:asciiTheme="minorAscii" w:hAnsiTheme="minorAscii"/>
          <w:b/>
          <w:sz w:val="22"/>
          <w:szCs w:val="22"/>
          <w:u w:val="single"/>
        </w:rPr>
        <w:t>спровођењу</w:t>
      </w:r>
      <w:r>
        <w:rPr>
          <w:rFonts w:hint="default" w:asciiTheme="minorAscii" w:hAnsiTheme="minorAscii"/>
          <w:b/>
          <w:sz w:val="22"/>
          <w:szCs w:val="22"/>
        </w:rPr>
        <w:t xml:space="preserve"> </w:t>
      </w:r>
      <w:r>
        <w:rPr>
          <w:rFonts w:hint="default" w:asciiTheme="minorAscii" w:hAnsiTheme="minorAscii"/>
          <w:b/>
          <w:sz w:val="22"/>
          <w:szCs w:val="22"/>
          <w:u w:val="single"/>
        </w:rPr>
        <w:t>финансијске помоћи ЕУ не могу се користити у друге сврхе;</w:t>
      </w:r>
    </w:p>
    <w:p w14:paraId="7189611B">
      <w:pPr>
        <w:pStyle w:val="20"/>
        <w:numPr>
          <w:ilvl w:val="0"/>
          <w:numId w:val="4"/>
        </w:numPr>
        <w:tabs>
          <w:tab w:val="left" w:pos="830"/>
        </w:tabs>
        <w:spacing w:before="274" w:after="0" w:line="266" w:lineRule="auto"/>
        <w:ind w:left="830" w:right="288" w:hanging="360"/>
        <w:jc w:val="both"/>
        <w:rPr>
          <w:rFonts w:hint="default" w:asciiTheme="minorAscii" w:hAnsiTheme="minorAscii"/>
          <w:sz w:val="22"/>
          <w:szCs w:val="22"/>
        </w:rPr>
      </w:pPr>
      <w:r>
        <w:rPr>
          <w:rFonts w:hint="default" w:asciiTheme="minorAscii" w:hAnsiTheme="minorAscii"/>
          <w:sz w:val="22"/>
          <w:szCs w:val="22"/>
        </w:rPr>
        <w:t>Имајући у виду да је реализација годишњег ИПА програма вишегодишња и да се не подудара са националном буџетском годином, потребно је распоредити опредељена средства из једне године буџета ЕУ у неколико година буџета Републике Србије у складу</w:t>
      </w:r>
      <w:r>
        <w:rPr>
          <w:rFonts w:hint="default" w:asciiTheme="minorAscii" w:hAnsiTheme="minorAscii"/>
          <w:spacing w:val="-6"/>
          <w:sz w:val="22"/>
          <w:szCs w:val="22"/>
        </w:rPr>
        <w:t xml:space="preserve"> </w:t>
      </w:r>
      <w:r>
        <w:rPr>
          <w:rFonts w:hint="default" w:asciiTheme="minorAscii" w:hAnsiTheme="minorAscii"/>
          <w:sz w:val="22"/>
          <w:szCs w:val="22"/>
        </w:rPr>
        <w:t>са</w:t>
      </w:r>
      <w:r>
        <w:rPr>
          <w:rFonts w:hint="default" w:asciiTheme="minorAscii" w:hAnsiTheme="minorAscii"/>
          <w:spacing w:val="-4"/>
          <w:sz w:val="22"/>
          <w:szCs w:val="22"/>
        </w:rPr>
        <w:t xml:space="preserve"> </w:t>
      </w:r>
      <w:r>
        <w:rPr>
          <w:rFonts w:hint="default" w:asciiTheme="minorAscii" w:hAnsiTheme="minorAscii"/>
          <w:sz w:val="22"/>
          <w:szCs w:val="22"/>
        </w:rPr>
        <w:t>Планом</w:t>
      </w:r>
      <w:r>
        <w:rPr>
          <w:rFonts w:hint="default" w:asciiTheme="minorAscii" w:hAnsiTheme="minorAscii"/>
          <w:spacing w:val="-4"/>
          <w:sz w:val="22"/>
          <w:szCs w:val="22"/>
        </w:rPr>
        <w:t xml:space="preserve"> </w:t>
      </w:r>
      <w:r>
        <w:rPr>
          <w:rFonts w:hint="default" w:asciiTheme="minorAscii" w:hAnsiTheme="minorAscii"/>
          <w:sz w:val="22"/>
          <w:szCs w:val="22"/>
        </w:rPr>
        <w:t>јавних</w:t>
      </w:r>
      <w:r>
        <w:rPr>
          <w:rFonts w:hint="default" w:asciiTheme="minorAscii" w:hAnsiTheme="minorAscii"/>
          <w:spacing w:val="-1"/>
          <w:sz w:val="22"/>
          <w:szCs w:val="22"/>
        </w:rPr>
        <w:t xml:space="preserve"> </w:t>
      </w:r>
      <w:r>
        <w:rPr>
          <w:rFonts w:hint="default" w:asciiTheme="minorAscii" w:hAnsiTheme="minorAscii"/>
          <w:sz w:val="22"/>
          <w:szCs w:val="22"/>
        </w:rPr>
        <w:t>набавки</w:t>
      </w:r>
      <w:r>
        <w:rPr>
          <w:rFonts w:hint="default" w:asciiTheme="minorAscii" w:hAnsiTheme="minorAscii"/>
          <w:spacing w:val="-2"/>
          <w:sz w:val="22"/>
          <w:szCs w:val="22"/>
          <w:vertAlign w:val="baseline"/>
        </w:rPr>
        <w:t xml:space="preserve"> </w:t>
      </w:r>
      <w:r>
        <w:rPr>
          <w:rFonts w:hint="default" w:asciiTheme="minorAscii" w:hAnsiTheme="minorAscii"/>
          <w:sz w:val="22"/>
          <w:szCs w:val="22"/>
          <w:vertAlign w:val="baseline"/>
        </w:rPr>
        <w:t>и уговором</w:t>
      </w:r>
      <w:r>
        <w:rPr>
          <w:rFonts w:hint="default" w:asciiTheme="minorAscii" w:hAnsiTheme="minorAscii"/>
          <w:spacing w:val="-4"/>
          <w:sz w:val="22"/>
          <w:szCs w:val="22"/>
          <w:vertAlign w:val="baseline"/>
        </w:rPr>
        <w:t xml:space="preserve"> </w:t>
      </w:r>
      <w:r>
        <w:rPr>
          <w:rFonts w:hint="default" w:asciiTheme="minorAscii" w:hAnsiTheme="minorAscii"/>
          <w:sz w:val="22"/>
          <w:szCs w:val="22"/>
          <w:vertAlign w:val="baseline"/>
        </w:rPr>
        <w:t>дефинисаном</w:t>
      </w:r>
      <w:r>
        <w:rPr>
          <w:rFonts w:hint="default" w:asciiTheme="minorAscii" w:hAnsiTheme="minorAscii"/>
          <w:spacing w:val="-4"/>
          <w:sz w:val="22"/>
          <w:szCs w:val="22"/>
          <w:vertAlign w:val="baseline"/>
        </w:rPr>
        <w:t xml:space="preserve"> </w:t>
      </w:r>
      <w:r>
        <w:rPr>
          <w:rFonts w:hint="default" w:asciiTheme="minorAscii" w:hAnsiTheme="minorAscii"/>
          <w:sz w:val="22"/>
          <w:szCs w:val="22"/>
          <w:vertAlign w:val="baseline"/>
        </w:rPr>
        <w:t>динамиком</w:t>
      </w:r>
      <w:r>
        <w:rPr>
          <w:rFonts w:hint="default" w:asciiTheme="minorAscii" w:hAnsiTheme="minorAscii"/>
          <w:spacing w:val="-4"/>
          <w:sz w:val="22"/>
          <w:szCs w:val="22"/>
          <w:vertAlign w:val="baseline"/>
        </w:rPr>
        <w:t xml:space="preserve"> </w:t>
      </w:r>
      <w:r>
        <w:rPr>
          <w:rFonts w:hint="default" w:asciiTheme="minorAscii" w:hAnsiTheme="minorAscii"/>
          <w:sz w:val="22"/>
          <w:szCs w:val="22"/>
          <w:vertAlign w:val="baseline"/>
        </w:rPr>
        <w:t>спровођења;</w:t>
      </w:r>
    </w:p>
    <w:p w14:paraId="0FABC16D">
      <w:pPr>
        <w:pStyle w:val="20"/>
        <w:numPr>
          <w:ilvl w:val="0"/>
          <w:numId w:val="4"/>
        </w:numPr>
        <w:tabs>
          <w:tab w:val="left" w:pos="830"/>
        </w:tabs>
        <w:spacing w:before="65" w:after="0" w:line="268" w:lineRule="auto"/>
        <w:ind w:left="830" w:right="290" w:hanging="360"/>
        <w:jc w:val="both"/>
        <w:rPr>
          <w:rFonts w:hint="default" w:asciiTheme="minorAscii" w:hAnsiTheme="minorAscii"/>
          <w:sz w:val="22"/>
          <w:szCs w:val="22"/>
        </w:rPr>
      </w:pPr>
      <w:r>
        <w:rPr>
          <w:rFonts w:hint="default" w:asciiTheme="minorAscii" w:hAnsiTheme="minorAscii"/>
          <w:sz w:val="22"/>
          <w:szCs w:val="22"/>
        </w:rPr>
        <w:t>Буџетски корисници расходе и/или издатке планирају у оквиру шифре пројеката и програма за које је предвиђено финансирање из извора 01 – општи приход буџета (за део којим се финансира национално учешће).</w:t>
      </w:r>
    </w:p>
    <w:p w14:paraId="43B9D9A0">
      <w:pPr>
        <w:pStyle w:val="20"/>
        <w:numPr>
          <w:ilvl w:val="0"/>
          <w:numId w:val="4"/>
        </w:numPr>
        <w:tabs>
          <w:tab w:val="left" w:pos="830"/>
        </w:tabs>
        <w:spacing w:before="267" w:after="0" w:line="266" w:lineRule="auto"/>
        <w:ind w:left="830" w:right="289" w:hanging="360"/>
        <w:jc w:val="both"/>
        <w:rPr>
          <w:rFonts w:hint="default" w:asciiTheme="minorAscii" w:hAnsiTheme="minorAscii"/>
          <w:sz w:val="22"/>
          <w:szCs w:val="22"/>
        </w:rPr>
      </w:pPr>
      <w:r>
        <w:rPr>
          <w:rFonts w:hint="default" w:asciiTheme="minorAscii" w:hAnsiTheme="minorAscii"/>
          <w:sz w:val="22"/>
          <w:szCs w:val="22"/>
        </w:rPr>
        <w:t xml:space="preserve">У складу са Оквирним споразумима, Република Србија мора да обезбеди средства за надокнаду нерегуларно утрошених средстава (као последицу неправилности или превара), у случају када није могуће наплатити настале дугове, па у складу са наведеним буџетски корисници </w:t>
      </w:r>
      <w:r>
        <w:rPr>
          <w:rFonts w:hint="default" w:asciiTheme="minorAscii" w:hAnsiTheme="minorAscii"/>
          <w:b/>
          <w:sz w:val="22"/>
          <w:szCs w:val="22"/>
        </w:rPr>
        <w:t xml:space="preserve">планирају </w:t>
      </w:r>
      <w:r>
        <w:rPr>
          <w:rFonts w:hint="default" w:asciiTheme="minorAscii" w:hAnsiTheme="minorAscii"/>
          <w:sz w:val="22"/>
          <w:szCs w:val="22"/>
        </w:rPr>
        <w:t>расходе и/или издатке на име покрића надокнаде</w:t>
      </w:r>
      <w:r>
        <w:rPr>
          <w:rFonts w:hint="default" w:asciiTheme="minorAscii" w:hAnsiTheme="minorAscii"/>
          <w:spacing w:val="-15"/>
          <w:sz w:val="22"/>
          <w:szCs w:val="22"/>
        </w:rPr>
        <w:t xml:space="preserve"> </w:t>
      </w:r>
      <w:r>
        <w:rPr>
          <w:rFonts w:hint="default" w:asciiTheme="minorAscii" w:hAnsiTheme="minorAscii"/>
          <w:sz w:val="22"/>
          <w:szCs w:val="22"/>
        </w:rPr>
        <w:t>нерегуларно</w:t>
      </w:r>
      <w:r>
        <w:rPr>
          <w:rFonts w:hint="default" w:asciiTheme="minorAscii" w:hAnsiTheme="minorAscii"/>
          <w:spacing w:val="-15"/>
          <w:sz w:val="22"/>
          <w:szCs w:val="22"/>
        </w:rPr>
        <w:t xml:space="preserve"> </w:t>
      </w:r>
      <w:r>
        <w:rPr>
          <w:rFonts w:hint="default" w:asciiTheme="minorAscii" w:hAnsiTheme="minorAscii"/>
          <w:sz w:val="22"/>
          <w:szCs w:val="22"/>
        </w:rPr>
        <w:t>утрошених</w:t>
      </w:r>
      <w:r>
        <w:rPr>
          <w:rFonts w:hint="default" w:asciiTheme="minorAscii" w:hAnsiTheme="minorAscii"/>
          <w:spacing w:val="-15"/>
          <w:sz w:val="22"/>
          <w:szCs w:val="22"/>
        </w:rPr>
        <w:t xml:space="preserve"> </w:t>
      </w:r>
      <w:r>
        <w:rPr>
          <w:rFonts w:hint="default" w:asciiTheme="minorAscii" w:hAnsiTheme="minorAscii"/>
          <w:sz w:val="22"/>
          <w:szCs w:val="22"/>
        </w:rPr>
        <w:t>средстава</w:t>
      </w:r>
      <w:r>
        <w:rPr>
          <w:rFonts w:hint="default" w:asciiTheme="minorAscii" w:hAnsiTheme="minorAscii"/>
          <w:spacing w:val="-15"/>
          <w:sz w:val="22"/>
          <w:szCs w:val="22"/>
        </w:rPr>
        <w:t xml:space="preserve"> </w:t>
      </w:r>
      <w:r>
        <w:rPr>
          <w:rFonts w:hint="default" w:asciiTheme="minorAscii" w:hAnsiTheme="minorAscii"/>
          <w:sz w:val="22"/>
          <w:szCs w:val="22"/>
        </w:rPr>
        <w:t>у</w:t>
      </w:r>
      <w:r>
        <w:rPr>
          <w:rFonts w:hint="default" w:asciiTheme="minorAscii" w:hAnsiTheme="minorAscii"/>
          <w:spacing w:val="-1"/>
          <w:sz w:val="22"/>
          <w:szCs w:val="22"/>
        </w:rPr>
        <w:t xml:space="preserve"> </w:t>
      </w:r>
      <w:r>
        <w:rPr>
          <w:rFonts w:hint="default" w:asciiTheme="minorAscii" w:hAnsiTheme="minorAscii"/>
          <w:sz w:val="22"/>
          <w:szCs w:val="22"/>
        </w:rPr>
        <w:t>складу</w:t>
      </w:r>
      <w:r>
        <w:rPr>
          <w:rFonts w:hint="default" w:asciiTheme="minorAscii" w:hAnsiTheme="minorAscii"/>
          <w:spacing w:val="-15"/>
          <w:sz w:val="22"/>
          <w:szCs w:val="22"/>
        </w:rPr>
        <w:t xml:space="preserve"> </w:t>
      </w:r>
      <w:r>
        <w:rPr>
          <w:rFonts w:hint="default" w:asciiTheme="minorAscii" w:hAnsiTheme="minorAscii"/>
          <w:sz w:val="22"/>
          <w:szCs w:val="22"/>
        </w:rPr>
        <w:t>са</w:t>
      </w:r>
      <w:r>
        <w:rPr>
          <w:rFonts w:hint="default" w:asciiTheme="minorAscii" w:hAnsiTheme="minorAscii"/>
          <w:spacing w:val="-15"/>
          <w:sz w:val="22"/>
          <w:szCs w:val="22"/>
        </w:rPr>
        <w:t xml:space="preserve"> </w:t>
      </w:r>
      <w:r>
        <w:rPr>
          <w:rFonts w:hint="default" w:asciiTheme="minorAscii" w:hAnsiTheme="minorAscii"/>
          <w:sz w:val="22"/>
          <w:szCs w:val="22"/>
        </w:rPr>
        <w:t>процењеном</w:t>
      </w:r>
      <w:r>
        <w:rPr>
          <w:rFonts w:hint="default" w:asciiTheme="minorAscii" w:hAnsiTheme="minorAscii"/>
          <w:spacing w:val="-15"/>
          <w:sz w:val="22"/>
          <w:szCs w:val="22"/>
        </w:rPr>
        <w:t xml:space="preserve"> </w:t>
      </w:r>
      <w:r>
        <w:rPr>
          <w:rFonts w:hint="default" w:asciiTheme="minorAscii" w:hAnsiTheme="minorAscii"/>
          <w:sz w:val="22"/>
          <w:szCs w:val="22"/>
        </w:rPr>
        <w:t>вредношћу</w:t>
      </w:r>
      <w:r>
        <w:rPr>
          <w:rFonts w:hint="default" w:asciiTheme="minorAscii" w:hAnsiTheme="minorAscii"/>
          <w:spacing w:val="-15"/>
          <w:sz w:val="22"/>
          <w:szCs w:val="22"/>
        </w:rPr>
        <w:t xml:space="preserve"> </w:t>
      </w:r>
      <w:r>
        <w:rPr>
          <w:rFonts w:hint="default" w:asciiTheme="minorAscii" w:hAnsiTheme="minorAscii"/>
          <w:sz w:val="22"/>
          <w:szCs w:val="22"/>
        </w:rPr>
        <w:t>исте (која је настала као последица неправилности или превара), а у случају када није могуће наплатити настале дугове, на економској класификацији 485 - Накнада штете за повреде или штету</w:t>
      </w:r>
      <w:r>
        <w:rPr>
          <w:rFonts w:hint="default" w:asciiTheme="minorAscii" w:hAnsiTheme="minorAscii"/>
          <w:spacing w:val="-2"/>
          <w:sz w:val="22"/>
          <w:szCs w:val="22"/>
        </w:rPr>
        <w:t xml:space="preserve"> </w:t>
      </w:r>
      <w:r>
        <w:rPr>
          <w:rFonts w:hint="default" w:asciiTheme="minorAscii" w:hAnsiTheme="minorAscii"/>
          <w:sz w:val="22"/>
          <w:szCs w:val="22"/>
        </w:rPr>
        <w:t>нанету</w:t>
      </w:r>
      <w:r>
        <w:rPr>
          <w:rFonts w:hint="default" w:asciiTheme="minorAscii" w:hAnsiTheme="minorAscii"/>
          <w:spacing w:val="-4"/>
          <w:sz w:val="22"/>
          <w:szCs w:val="22"/>
        </w:rPr>
        <w:t xml:space="preserve"> </w:t>
      </w:r>
      <w:r>
        <w:rPr>
          <w:rFonts w:hint="default" w:asciiTheme="minorAscii" w:hAnsiTheme="minorAscii"/>
          <w:sz w:val="22"/>
          <w:szCs w:val="22"/>
        </w:rPr>
        <w:t>од стране државних органа, у</w:t>
      </w:r>
      <w:r>
        <w:rPr>
          <w:rFonts w:hint="default" w:asciiTheme="minorAscii" w:hAnsiTheme="minorAscii"/>
          <w:spacing w:val="-7"/>
          <w:sz w:val="22"/>
          <w:szCs w:val="22"/>
        </w:rPr>
        <w:t xml:space="preserve"> </w:t>
      </w:r>
      <w:r>
        <w:rPr>
          <w:rFonts w:hint="default" w:asciiTheme="minorAscii" w:hAnsiTheme="minorAscii"/>
          <w:sz w:val="22"/>
          <w:szCs w:val="22"/>
        </w:rPr>
        <w:t>оквиру</w:t>
      </w:r>
      <w:r>
        <w:rPr>
          <w:rFonts w:hint="default" w:asciiTheme="minorAscii" w:hAnsiTheme="minorAscii"/>
          <w:spacing w:val="-4"/>
          <w:sz w:val="22"/>
          <w:szCs w:val="22"/>
        </w:rPr>
        <w:t xml:space="preserve"> </w:t>
      </w:r>
      <w:r>
        <w:rPr>
          <w:rFonts w:hint="default" w:asciiTheme="minorAscii" w:hAnsiTheme="minorAscii"/>
          <w:sz w:val="22"/>
          <w:szCs w:val="22"/>
        </w:rPr>
        <w:t xml:space="preserve">шифре програма и </w:t>
      </w:r>
      <w:r>
        <w:rPr>
          <w:rFonts w:hint="default" w:asciiTheme="minorAscii" w:hAnsiTheme="minorAscii"/>
          <w:spacing w:val="-2"/>
          <w:sz w:val="22"/>
          <w:szCs w:val="22"/>
        </w:rPr>
        <w:t>пројекта.</w:t>
      </w:r>
    </w:p>
    <w:p w14:paraId="422C9701">
      <w:pPr>
        <w:pStyle w:val="20"/>
        <w:numPr>
          <w:ilvl w:val="0"/>
          <w:numId w:val="4"/>
        </w:numPr>
        <w:tabs>
          <w:tab w:val="left" w:pos="830"/>
        </w:tabs>
        <w:spacing w:before="0" w:after="0" w:line="266" w:lineRule="auto"/>
        <w:ind w:left="830" w:right="296" w:hanging="360"/>
        <w:jc w:val="both"/>
        <w:rPr>
          <w:sz w:val="22"/>
          <w:szCs w:val="22"/>
        </w:rPr>
      </w:pPr>
      <w:r>
        <w:rPr>
          <w:sz w:val="22"/>
          <w:szCs w:val="22"/>
        </w:rPr>
        <w:t>У</w:t>
      </w:r>
      <w:r>
        <w:rPr>
          <w:spacing w:val="-1"/>
          <w:sz w:val="22"/>
          <w:szCs w:val="22"/>
        </w:rPr>
        <w:t xml:space="preserve"> </w:t>
      </w:r>
      <w:r>
        <w:rPr>
          <w:sz w:val="22"/>
          <w:szCs w:val="22"/>
        </w:rPr>
        <w:t>случају</w:t>
      </w:r>
      <w:r>
        <w:rPr>
          <w:spacing w:val="-6"/>
          <w:sz w:val="22"/>
          <w:szCs w:val="22"/>
        </w:rPr>
        <w:t xml:space="preserve"> </w:t>
      </w:r>
      <w:r>
        <w:rPr>
          <w:sz w:val="22"/>
          <w:szCs w:val="22"/>
        </w:rPr>
        <w:t>да</w:t>
      </w:r>
      <w:r>
        <w:rPr>
          <w:spacing w:val="-2"/>
          <w:sz w:val="22"/>
          <w:szCs w:val="22"/>
        </w:rPr>
        <w:t xml:space="preserve"> </w:t>
      </w:r>
      <w:r>
        <w:rPr>
          <w:sz w:val="22"/>
          <w:szCs w:val="22"/>
        </w:rPr>
        <w:t>су</w:t>
      </w:r>
      <w:r>
        <w:rPr>
          <w:spacing w:val="-6"/>
          <w:sz w:val="22"/>
          <w:szCs w:val="22"/>
        </w:rPr>
        <w:t xml:space="preserve"> </w:t>
      </w:r>
      <w:r>
        <w:rPr>
          <w:sz w:val="22"/>
          <w:szCs w:val="22"/>
        </w:rPr>
        <w:t>буџетски корисници потписници уговора</w:t>
      </w:r>
      <w:r>
        <w:rPr>
          <w:spacing w:val="-2"/>
          <w:sz w:val="22"/>
          <w:szCs w:val="22"/>
        </w:rPr>
        <w:t xml:space="preserve"> </w:t>
      </w:r>
      <w:r>
        <w:rPr>
          <w:sz w:val="22"/>
          <w:szCs w:val="22"/>
        </w:rPr>
        <w:t>о</w:t>
      </w:r>
      <w:r>
        <w:rPr>
          <w:spacing w:val="-1"/>
          <w:sz w:val="22"/>
          <w:szCs w:val="22"/>
        </w:rPr>
        <w:t xml:space="preserve"> </w:t>
      </w:r>
      <w:r>
        <w:rPr>
          <w:sz w:val="22"/>
          <w:szCs w:val="22"/>
        </w:rPr>
        <w:t>бесповратним</w:t>
      </w:r>
      <w:r>
        <w:rPr>
          <w:spacing w:val="-2"/>
          <w:sz w:val="22"/>
          <w:szCs w:val="22"/>
        </w:rPr>
        <w:t xml:space="preserve"> </w:t>
      </w:r>
      <w:r>
        <w:rPr>
          <w:sz w:val="22"/>
          <w:szCs w:val="22"/>
        </w:rPr>
        <w:t xml:space="preserve">средствима (грантова) одговорни су и за планирање трошкова на извору 01 на име насталих </w:t>
      </w:r>
      <w:r>
        <w:rPr>
          <w:spacing w:val="-2"/>
          <w:sz w:val="22"/>
          <w:szCs w:val="22"/>
        </w:rPr>
        <w:t>нерегуларности.</w:t>
      </w:r>
    </w:p>
    <w:p w14:paraId="22E303B9">
      <w:pPr>
        <w:pStyle w:val="20"/>
        <w:numPr>
          <w:ilvl w:val="0"/>
          <w:numId w:val="4"/>
        </w:numPr>
        <w:tabs>
          <w:tab w:val="left" w:pos="830"/>
        </w:tabs>
        <w:spacing w:before="275" w:after="0" w:line="268" w:lineRule="auto"/>
        <w:ind w:left="830" w:right="286" w:hanging="360"/>
        <w:jc w:val="both"/>
        <w:rPr>
          <w:sz w:val="22"/>
          <w:szCs w:val="22"/>
        </w:rPr>
      </w:pPr>
      <w:r>
        <w:rPr>
          <w:sz w:val="22"/>
          <w:szCs w:val="22"/>
        </w:rPr>
        <w:t xml:space="preserve">Приликом планирања средстава за национално учешће </w:t>
      </w:r>
      <w:r>
        <w:rPr>
          <w:b/>
          <w:sz w:val="22"/>
          <w:szCs w:val="22"/>
          <w:u w:val="single"/>
        </w:rPr>
        <w:t>не треба</w:t>
      </w:r>
      <w:r>
        <w:rPr>
          <w:b/>
          <w:sz w:val="22"/>
          <w:szCs w:val="22"/>
        </w:rPr>
        <w:t xml:space="preserve"> </w:t>
      </w:r>
      <w:r>
        <w:rPr>
          <w:sz w:val="22"/>
          <w:szCs w:val="22"/>
        </w:rPr>
        <w:t>у предлогу финансијских планова урачунавати трошкове ПДВ</w:t>
      </w:r>
      <w:r>
        <w:rPr>
          <w:sz w:val="22"/>
          <w:szCs w:val="22"/>
          <w:vertAlign w:val="superscript"/>
        </w:rPr>
        <w:t>8</w:t>
      </w:r>
      <w:r>
        <w:rPr>
          <w:sz w:val="22"/>
          <w:szCs w:val="22"/>
          <w:vertAlign w:val="baseline"/>
        </w:rPr>
        <w:t>.</w:t>
      </w:r>
    </w:p>
    <w:p w14:paraId="257559B5">
      <w:pPr>
        <w:pStyle w:val="20"/>
        <w:numPr>
          <w:ilvl w:val="0"/>
          <w:numId w:val="4"/>
        </w:numPr>
        <w:tabs>
          <w:tab w:val="left" w:pos="830"/>
        </w:tabs>
        <w:spacing w:before="274" w:after="0" w:line="266" w:lineRule="auto"/>
        <w:ind w:left="830" w:right="287" w:hanging="360"/>
        <w:jc w:val="both"/>
        <w:rPr>
          <w:sz w:val="22"/>
          <w:szCs w:val="22"/>
        </w:rPr>
      </w:pPr>
      <w:r>
        <w:rPr>
          <w:sz w:val="22"/>
          <w:szCs w:val="22"/>
        </w:rPr>
        <w:t xml:space="preserve">Буџетски корисници </w:t>
      </w:r>
      <w:r>
        <w:rPr>
          <w:b/>
          <w:sz w:val="22"/>
          <w:szCs w:val="22"/>
          <w:u w:val="single"/>
        </w:rPr>
        <w:t>одговорни</w:t>
      </w:r>
      <w:r>
        <w:rPr>
          <w:b/>
          <w:sz w:val="22"/>
          <w:szCs w:val="22"/>
        </w:rPr>
        <w:t xml:space="preserve"> </w:t>
      </w:r>
      <w:r>
        <w:rPr>
          <w:sz w:val="22"/>
          <w:szCs w:val="22"/>
        </w:rPr>
        <w:t>су и за планирање трошкова на извору 01 на име камата због кашњења у плаћању и пенала/казни које настају приликом сповођења програма и пројекта.</w:t>
      </w:r>
    </w:p>
    <w:p w14:paraId="734193E7">
      <w:pPr>
        <w:pStyle w:val="6"/>
        <w:spacing w:before="3"/>
        <w:jc w:val="left"/>
        <w:rPr>
          <w:sz w:val="22"/>
          <w:szCs w:val="22"/>
        </w:rPr>
      </w:pPr>
    </w:p>
    <w:p w14:paraId="3B527ACD">
      <w:pPr>
        <w:pStyle w:val="20"/>
        <w:numPr>
          <w:ilvl w:val="0"/>
          <w:numId w:val="4"/>
        </w:numPr>
        <w:tabs>
          <w:tab w:val="left" w:pos="830"/>
        </w:tabs>
        <w:spacing w:before="0" w:after="0" w:line="266" w:lineRule="auto"/>
        <w:ind w:left="830" w:right="294" w:hanging="360"/>
        <w:jc w:val="both"/>
        <w:rPr>
          <w:sz w:val="22"/>
          <w:szCs w:val="22"/>
        </w:rPr>
      </w:pPr>
      <w:r>
        <w:rPr>
          <w:sz w:val="22"/>
          <w:szCs w:val="22"/>
        </w:rPr>
        <w:t>За уговоре о радовима, у случају да је потребно да се обезбеде средства на име трошкова</w:t>
      </w:r>
      <w:r>
        <w:rPr>
          <w:spacing w:val="-11"/>
          <w:sz w:val="22"/>
          <w:szCs w:val="22"/>
        </w:rPr>
        <w:t xml:space="preserve"> </w:t>
      </w:r>
      <w:r>
        <w:rPr>
          <w:sz w:val="22"/>
          <w:szCs w:val="22"/>
        </w:rPr>
        <w:t>за</w:t>
      </w:r>
      <w:r>
        <w:rPr>
          <w:spacing w:val="-11"/>
          <w:sz w:val="22"/>
          <w:szCs w:val="22"/>
        </w:rPr>
        <w:t xml:space="preserve"> </w:t>
      </w:r>
      <w:r>
        <w:rPr>
          <w:sz w:val="22"/>
          <w:szCs w:val="22"/>
        </w:rPr>
        <w:t>додатне</w:t>
      </w:r>
      <w:r>
        <w:rPr>
          <w:spacing w:val="-11"/>
          <w:sz w:val="22"/>
          <w:szCs w:val="22"/>
        </w:rPr>
        <w:t xml:space="preserve"> </w:t>
      </w:r>
      <w:r>
        <w:rPr>
          <w:sz w:val="22"/>
          <w:szCs w:val="22"/>
        </w:rPr>
        <w:t>и/или</w:t>
      </w:r>
      <w:r>
        <w:rPr>
          <w:spacing w:val="-10"/>
          <w:sz w:val="22"/>
          <w:szCs w:val="22"/>
        </w:rPr>
        <w:t xml:space="preserve"> </w:t>
      </w:r>
      <w:r>
        <w:rPr>
          <w:sz w:val="22"/>
          <w:szCs w:val="22"/>
        </w:rPr>
        <w:t>непредвиђене</w:t>
      </w:r>
      <w:r>
        <w:rPr>
          <w:spacing w:val="-11"/>
          <w:sz w:val="22"/>
          <w:szCs w:val="22"/>
        </w:rPr>
        <w:t xml:space="preserve"> </w:t>
      </w:r>
      <w:r>
        <w:rPr>
          <w:sz w:val="22"/>
          <w:szCs w:val="22"/>
        </w:rPr>
        <w:t>радове,</w:t>
      </w:r>
      <w:r>
        <w:rPr>
          <w:spacing w:val="-11"/>
          <w:sz w:val="22"/>
          <w:szCs w:val="22"/>
        </w:rPr>
        <w:t xml:space="preserve"> </w:t>
      </w:r>
      <w:r>
        <w:rPr>
          <w:sz w:val="22"/>
          <w:szCs w:val="22"/>
        </w:rPr>
        <w:t>неопходно</w:t>
      </w:r>
      <w:r>
        <w:rPr>
          <w:spacing w:val="-11"/>
          <w:sz w:val="22"/>
          <w:szCs w:val="22"/>
        </w:rPr>
        <w:t xml:space="preserve"> </w:t>
      </w:r>
      <w:r>
        <w:rPr>
          <w:sz w:val="22"/>
          <w:szCs w:val="22"/>
        </w:rPr>
        <w:t>је</w:t>
      </w:r>
      <w:r>
        <w:rPr>
          <w:spacing w:val="-11"/>
          <w:sz w:val="22"/>
          <w:szCs w:val="22"/>
        </w:rPr>
        <w:t xml:space="preserve"> </w:t>
      </w:r>
      <w:r>
        <w:rPr>
          <w:sz w:val="22"/>
          <w:szCs w:val="22"/>
        </w:rPr>
        <w:t>да</w:t>
      </w:r>
      <w:r>
        <w:rPr>
          <w:spacing w:val="-11"/>
          <w:sz w:val="22"/>
          <w:szCs w:val="22"/>
        </w:rPr>
        <w:t xml:space="preserve"> </w:t>
      </w:r>
      <w:r>
        <w:rPr>
          <w:sz w:val="22"/>
          <w:szCs w:val="22"/>
        </w:rPr>
        <w:t>буџетски</w:t>
      </w:r>
      <w:r>
        <w:rPr>
          <w:spacing w:val="-9"/>
          <w:sz w:val="22"/>
          <w:szCs w:val="22"/>
        </w:rPr>
        <w:t xml:space="preserve"> </w:t>
      </w:r>
      <w:r>
        <w:rPr>
          <w:sz w:val="22"/>
          <w:szCs w:val="22"/>
        </w:rPr>
        <w:t>корисници планирају већи износ националног учешћа, у складу са процењеном вредношћу додатних и/или непредвиђених радова.</w:t>
      </w:r>
    </w:p>
    <w:p w14:paraId="75461C1F">
      <w:pPr>
        <w:pStyle w:val="20"/>
        <w:numPr>
          <w:ilvl w:val="0"/>
          <w:numId w:val="4"/>
        </w:numPr>
        <w:tabs>
          <w:tab w:val="left" w:pos="830"/>
        </w:tabs>
        <w:spacing w:before="272" w:after="0" w:line="268" w:lineRule="auto"/>
        <w:ind w:left="830" w:right="291" w:hanging="360"/>
        <w:jc w:val="both"/>
        <w:rPr>
          <w:sz w:val="22"/>
          <w:szCs w:val="22"/>
        </w:rPr>
      </w:pPr>
      <w:r>
        <w:rPr>
          <w:sz w:val="22"/>
          <w:szCs w:val="22"/>
        </w:rPr>
        <w:t xml:space="preserve">За </w:t>
      </w:r>
      <w:r>
        <w:rPr>
          <w:i/>
          <w:sz w:val="22"/>
          <w:szCs w:val="22"/>
        </w:rPr>
        <w:t xml:space="preserve">FIDIC </w:t>
      </w:r>
      <w:r>
        <w:rPr>
          <w:sz w:val="22"/>
          <w:szCs w:val="22"/>
        </w:rPr>
        <w:t>уговоре о радовима неопходно је да у 2026. години буџетски корисници планирају</w:t>
      </w:r>
      <w:r>
        <w:rPr>
          <w:spacing w:val="-9"/>
          <w:sz w:val="22"/>
          <w:szCs w:val="22"/>
        </w:rPr>
        <w:t xml:space="preserve"> </w:t>
      </w:r>
      <w:r>
        <w:rPr>
          <w:sz w:val="22"/>
          <w:szCs w:val="22"/>
        </w:rPr>
        <w:t>средства</w:t>
      </w:r>
      <w:r>
        <w:rPr>
          <w:spacing w:val="-2"/>
          <w:sz w:val="22"/>
          <w:szCs w:val="22"/>
        </w:rPr>
        <w:t xml:space="preserve"> </w:t>
      </w:r>
      <w:r>
        <w:rPr>
          <w:sz w:val="22"/>
          <w:szCs w:val="22"/>
        </w:rPr>
        <w:t>на</w:t>
      </w:r>
      <w:r>
        <w:rPr>
          <w:spacing w:val="-2"/>
          <w:sz w:val="22"/>
          <w:szCs w:val="22"/>
        </w:rPr>
        <w:t xml:space="preserve"> </w:t>
      </w:r>
      <w:r>
        <w:rPr>
          <w:sz w:val="22"/>
          <w:szCs w:val="22"/>
        </w:rPr>
        <w:t>извору</w:t>
      </w:r>
      <w:r>
        <w:rPr>
          <w:spacing w:val="-6"/>
          <w:sz w:val="22"/>
          <w:szCs w:val="22"/>
        </w:rPr>
        <w:t xml:space="preserve"> </w:t>
      </w:r>
      <w:r>
        <w:rPr>
          <w:sz w:val="22"/>
          <w:szCs w:val="22"/>
        </w:rPr>
        <w:t>01</w:t>
      </w:r>
      <w:r>
        <w:rPr>
          <w:spacing w:val="-1"/>
          <w:sz w:val="22"/>
          <w:szCs w:val="22"/>
        </w:rPr>
        <w:t xml:space="preserve"> </w:t>
      </w:r>
      <w:r>
        <w:rPr>
          <w:sz w:val="22"/>
          <w:szCs w:val="22"/>
        </w:rPr>
        <w:t>за</w:t>
      </w:r>
      <w:r>
        <w:rPr>
          <w:spacing w:val="-2"/>
          <w:sz w:val="22"/>
          <w:szCs w:val="22"/>
        </w:rPr>
        <w:t xml:space="preserve"> </w:t>
      </w:r>
      <w:r>
        <w:rPr>
          <w:sz w:val="22"/>
          <w:szCs w:val="22"/>
        </w:rPr>
        <w:t>покриће</w:t>
      </w:r>
      <w:r>
        <w:rPr>
          <w:spacing w:val="-2"/>
          <w:sz w:val="22"/>
          <w:szCs w:val="22"/>
        </w:rPr>
        <w:t xml:space="preserve"> </w:t>
      </w:r>
      <w:r>
        <w:rPr>
          <w:sz w:val="22"/>
          <w:szCs w:val="22"/>
        </w:rPr>
        <w:t>трошкова</w:t>
      </w:r>
      <w:r>
        <w:rPr>
          <w:spacing w:val="-3"/>
          <w:sz w:val="22"/>
          <w:szCs w:val="22"/>
        </w:rPr>
        <w:t xml:space="preserve"> </w:t>
      </w:r>
      <w:r>
        <w:rPr>
          <w:sz w:val="22"/>
          <w:szCs w:val="22"/>
        </w:rPr>
        <w:t>комисије</w:t>
      </w:r>
      <w:r>
        <w:rPr>
          <w:spacing w:val="-1"/>
          <w:sz w:val="22"/>
          <w:szCs w:val="22"/>
        </w:rPr>
        <w:t xml:space="preserve"> </w:t>
      </w:r>
      <w:r>
        <w:rPr>
          <w:sz w:val="22"/>
          <w:szCs w:val="22"/>
        </w:rPr>
        <w:t>за</w:t>
      </w:r>
      <w:r>
        <w:rPr>
          <w:spacing w:val="-2"/>
          <w:sz w:val="22"/>
          <w:szCs w:val="22"/>
        </w:rPr>
        <w:t xml:space="preserve"> </w:t>
      </w:r>
      <w:r>
        <w:rPr>
          <w:sz w:val="22"/>
          <w:szCs w:val="22"/>
        </w:rPr>
        <w:t>решавање</w:t>
      </w:r>
      <w:r>
        <w:rPr>
          <w:spacing w:val="-2"/>
          <w:sz w:val="22"/>
          <w:szCs w:val="22"/>
        </w:rPr>
        <w:t xml:space="preserve"> </w:t>
      </w:r>
      <w:r>
        <w:rPr>
          <w:sz w:val="22"/>
          <w:szCs w:val="22"/>
        </w:rPr>
        <w:t>спорова.</w:t>
      </w:r>
    </w:p>
    <w:p w14:paraId="0818D25E">
      <w:pPr>
        <w:pStyle w:val="20"/>
        <w:numPr>
          <w:ilvl w:val="0"/>
          <w:numId w:val="4"/>
        </w:numPr>
        <w:tabs>
          <w:tab w:val="left" w:pos="830"/>
        </w:tabs>
        <w:spacing w:before="269" w:after="0" w:line="266" w:lineRule="auto"/>
        <w:ind w:left="830" w:right="294" w:hanging="360"/>
        <w:jc w:val="both"/>
        <w:rPr>
          <w:sz w:val="22"/>
          <w:szCs w:val="22"/>
        </w:rPr>
      </w:pPr>
      <w:r>
        <w:rPr>
          <w:sz w:val="22"/>
          <w:szCs w:val="22"/>
        </w:rPr>
        <w:t>У складу са релевантним финансијским споразумима и Планом јавних набавки Сектора за уговарање и финансирање програма из средстава ЕУ Министарства финансија,</w:t>
      </w:r>
      <w:r>
        <w:rPr>
          <w:spacing w:val="-15"/>
          <w:sz w:val="22"/>
          <w:szCs w:val="22"/>
        </w:rPr>
        <w:t xml:space="preserve"> </w:t>
      </w:r>
      <w:r>
        <w:rPr>
          <w:sz w:val="22"/>
          <w:szCs w:val="22"/>
        </w:rPr>
        <w:t>као</w:t>
      </w:r>
      <w:r>
        <w:rPr>
          <w:spacing w:val="-15"/>
          <w:sz w:val="22"/>
          <w:szCs w:val="22"/>
        </w:rPr>
        <w:t xml:space="preserve"> </w:t>
      </w:r>
      <w:r>
        <w:rPr>
          <w:sz w:val="22"/>
          <w:szCs w:val="22"/>
        </w:rPr>
        <w:t>и</w:t>
      </w:r>
      <w:r>
        <w:rPr>
          <w:spacing w:val="-15"/>
          <w:sz w:val="22"/>
          <w:szCs w:val="22"/>
        </w:rPr>
        <w:t xml:space="preserve"> </w:t>
      </w:r>
      <w:r>
        <w:rPr>
          <w:sz w:val="22"/>
          <w:szCs w:val="22"/>
        </w:rPr>
        <w:t>у</w:t>
      </w:r>
      <w:r>
        <w:rPr>
          <w:spacing w:val="-15"/>
          <w:sz w:val="22"/>
          <w:szCs w:val="22"/>
        </w:rPr>
        <w:t xml:space="preserve"> </w:t>
      </w:r>
      <w:r>
        <w:rPr>
          <w:sz w:val="22"/>
          <w:szCs w:val="22"/>
        </w:rPr>
        <w:t>складу</w:t>
      </w:r>
      <w:r>
        <w:rPr>
          <w:spacing w:val="-15"/>
          <w:sz w:val="22"/>
          <w:szCs w:val="22"/>
        </w:rPr>
        <w:t xml:space="preserve"> </w:t>
      </w:r>
      <w:r>
        <w:rPr>
          <w:sz w:val="22"/>
          <w:szCs w:val="22"/>
        </w:rPr>
        <w:t>са</w:t>
      </w:r>
      <w:r>
        <w:rPr>
          <w:spacing w:val="-15"/>
          <w:sz w:val="22"/>
          <w:szCs w:val="22"/>
        </w:rPr>
        <w:t xml:space="preserve"> </w:t>
      </w:r>
      <w:r>
        <w:rPr>
          <w:sz w:val="22"/>
          <w:szCs w:val="22"/>
        </w:rPr>
        <w:t>уговором</w:t>
      </w:r>
      <w:r>
        <w:rPr>
          <w:spacing w:val="-15"/>
          <w:sz w:val="22"/>
          <w:szCs w:val="22"/>
        </w:rPr>
        <w:t xml:space="preserve"> </w:t>
      </w:r>
      <w:r>
        <w:rPr>
          <w:sz w:val="22"/>
          <w:szCs w:val="22"/>
        </w:rPr>
        <w:t>дефинисаном</w:t>
      </w:r>
      <w:r>
        <w:rPr>
          <w:spacing w:val="-15"/>
          <w:sz w:val="22"/>
          <w:szCs w:val="22"/>
        </w:rPr>
        <w:t xml:space="preserve"> </w:t>
      </w:r>
      <w:r>
        <w:rPr>
          <w:sz w:val="22"/>
          <w:szCs w:val="22"/>
        </w:rPr>
        <w:t>динамиком</w:t>
      </w:r>
      <w:r>
        <w:rPr>
          <w:spacing w:val="-15"/>
          <w:sz w:val="22"/>
          <w:szCs w:val="22"/>
        </w:rPr>
        <w:t xml:space="preserve"> </w:t>
      </w:r>
      <w:r>
        <w:rPr>
          <w:sz w:val="22"/>
          <w:szCs w:val="22"/>
        </w:rPr>
        <w:t>спровођења,</w:t>
      </w:r>
      <w:r>
        <w:rPr>
          <w:spacing w:val="-15"/>
          <w:sz w:val="22"/>
          <w:szCs w:val="22"/>
        </w:rPr>
        <w:t xml:space="preserve"> </w:t>
      </w:r>
      <w:r>
        <w:rPr>
          <w:sz w:val="22"/>
          <w:szCs w:val="22"/>
        </w:rPr>
        <w:t>буџетски корисници локалне власти у обавези су да обезбеде средства националног учешћа.</w:t>
      </w:r>
    </w:p>
    <w:p w14:paraId="3725E15E">
      <w:pPr>
        <w:pStyle w:val="20"/>
        <w:ind w:left="0" w:firstLine="720"/>
        <w:rPr>
          <w:b/>
          <w:sz w:val="22"/>
          <w:szCs w:val="22"/>
        </w:rPr>
      </w:pPr>
    </w:p>
    <w:p w14:paraId="3C47B551">
      <w:pPr>
        <w:pStyle w:val="20"/>
        <w:numPr>
          <w:ilvl w:val="0"/>
          <w:numId w:val="5"/>
        </w:numPr>
        <w:ind w:left="0" w:firstLine="720"/>
        <w:rPr>
          <w:sz w:val="22"/>
          <w:szCs w:val="22"/>
        </w:rPr>
      </w:pPr>
      <w:r>
        <w:rPr>
          <w:b/>
          <w:sz w:val="22"/>
          <w:szCs w:val="22"/>
        </w:rPr>
        <w:t xml:space="preserve">Смернице за исказивање издатака за капиталне пројекте </w:t>
      </w:r>
    </w:p>
    <w:p w14:paraId="2603B919">
      <w:pPr>
        <w:pStyle w:val="20"/>
        <w:ind w:left="0" w:firstLine="720"/>
        <w:rPr>
          <w:sz w:val="22"/>
          <w:szCs w:val="22"/>
        </w:rPr>
      </w:pPr>
    </w:p>
    <w:p w14:paraId="77E0B14C">
      <w:pPr>
        <w:pStyle w:val="20"/>
        <w:ind w:left="0" w:firstLine="720"/>
        <w:rPr>
          <w:sz w:val="22"/>
          <w:szCs w:val="22"/>
        </w:rPr>
      </w:pPr>
      <w:r>
        <w:rPr>
          <w:b/>
          <w:sz w:val="22"/>
          <w:szCs w:val="22"/>
        </w:rPr>
        <w:t xml:space="preserve"> Класа 5 –Издаци за нефинансијску имовину</w:t>
      </w:r>
      <w:r>
        <w:rPr>
          <w:sz w:val="22"/>
          <w:szCs w:val="22"/>
        </w:rPr>
        <w:t xml:space="preserve"> </w:t>
      </w:r>
    </w:p>
    <w:p w14:paraId="01FE99D0">
      <w:pPr>
        <w:pStyle w:val="20"/>
        <w:ind w:left="0" w:firstLine="720"/>
        <w:rPr>
          <w:sz w:val="22"/>
          <w:szCs w:val="22"/>
        </w:rPr>
      </w:pPr>
    </w:p>
    <w:p w14:paraId="1F5F74F1">
      <w:pPr>
        <w:pStyle w:val="20"/>
        <w:ind w:left="0" w:firstLine="720"/>
        <w:rPr>
          <w:sz w:val="22"/>
          <w:szCs w:val="22"/>
        </w:rPr>
      </w:pPr>
    </w:p>
    <w:p w14:paraId="2C15F3C2">
      <w:pPr>
        <w:pStyle w:val="20"/>
        <w:ind w:left="0" w:firstLine="720"/>
        <w:jc w:val="both"/>
        <w:rPr>
          <w:sz w:val="22"/>
          <w:szCs w:val="22"/>
        </w:rPr>
      </w:pPr>
      <w:r>
        <w:rPr>
          <w:sz w:val="22"/>
          <w:szCs w:val="22"/>
        </w:rPr>
        <w:t xml:space="preserve"> У циљу ефикасног планирања, важно је да корисници расходе за текуће поправке и одржавање зграда, објеката и опреме (за молерске, зидарске радове, поправке електронске и електричне опреме , замена санитарија, радијатора и сличне послове), којима се чува употребна вредност зграда, објеката и опреме у стању које је било у тренутку изградње, односно реконструкције и којима се не увећава њихова инвестициона вредност планирају на апропријацији  економске класификције 425 - Текуће поправке и одржавање, док се средства за капитално одржавање (значајни, дугорочнирадови на реновирању и унапређењу постојећих објеката и опреме, адаптација, реконструкција, санација и др.) планирају на контима класе 5.</w:t>
      </w:r>
    </w:p>
    <w:p w14:paraId="6135186A">
      <w:pPr>
        <w:pStyle w:val="20"/>
        <w:ind w:left="0" w:firstLine="720"/>
        <w:jc w:val="both"/>
        <w:rPr>
          <w:sz w:val="22"/>
          <w:szCs w:val="22"/>
        </w:rPr>
      </w:pPr>
      <w:r>
        <w:rPr>
          <w:sz w:val="22"/>
          <w:szCs w:val="22"/>
        </w:rPr>
        <w:t>Приликом планирања и реализације капиталних пројеката јединице локалне самоуправе треба увек да имају у виду период који је потребан за реализацију пројеката и динамику плаћања који прати исти, те да сходно наведеном размотре могућност вишегодишњег финасирања истих, а у циљу спречавања оптерећења буџета.</w:t>
      </w:r>
    </w:p>
    <w:p w14:paraId="4CF68A86">
      <w:pPr>
        <w:pStyle w:val="20"/>
        <w:ind w:left="0" w:firstLine="720"/>
        <w:jc w:val="both"/>
        <w:rPr>
          <w:sz w:val="22"/>
          <w:szCs w:val="22"/>
        </w:rPr>
      </w:pPr>
      <w:r>
        <w:rPr>
          <w:sz w:val="22"/>
          <w:szCs w:val="22"/>
        </w:rPr>
        <w:t>Такође, приликом приказивања вишегодишњих издатака за капиталне пројекте у буџету за 202</w:t>
      </w:r>
      <w:r>
        <w:rPr>
          <w:rFonts w:hint="default"/>
          <w:sz w:val="22"/>
          <w:szCs w:val="22"/>
          <w:lang w:val="en-US"/>
        </w:rPr>
        <w:t>6</w:t>
      </w:r>
      <w:r>
        <w:rPr>
          <w:sz w:val="22"/>
          <w:szCs w:val="22"/>
        </w:rPr>
        <w:t>. годину и наредне две године, потребно је приказати не само оне капиталне пројекте који ће бити започети у 202</w:t>
      </w:r>
      <w:r>
        <w:rPr>
          <w:rFonts w:hint="default"/>
          <w:sz w:val="22"/>
          <w:szCs w:val="22"/>
          <w:lang w:val="en-US"/>
        </w:rPr>
        <w:t>6</w:t>
      </w:r>
      <w:r>
        <w:rPr>
          <w:sz w:val="22"/>
          <w:szCs w:val="22"/>
        </w:rPr>
        <w:t xml:space="preserve">. години, већ и оне које су започети у предходним годинама а чија је реализација у току и при томе навести све релевантне податке везане за исти (годину почетка финансирања,  годину завршетка финансирања, укупну вредност пројекта, изворе финасирања, тј. приходе из буџета, трансфере од других нивоа власти итд..)  </w:t>
      </w:r>
    </w:p>
    <w:p w14:paraId="292D25BA">
      <w:pPr>
        <w:pStyle w:val="20"/>
        <w:ind w:left="0" w:firstLine="720"/>
        <w:rPr>
          <w:sz w:val="22"/>
          <w:szCs w:val="22"/>
        </w:rPr>
      </w:pPr>
    </w:p>
    <w:p w14:paraId="440D0B64">
      <w:pPr>
        <w:rPr>
          <w:b/>
          <w:sz w:val="22"/>
          <w:szCs w:val="22"/>
        </w:rPr>
      </w:pPr>
      <w:r>
        <w:rPr>
          <w:b/>
          <w:bCs/>
          <w:sz w:val="22"/>
          <w:szCs w:val="22"/>
        </w:rPr>
        <w:t>Капитални пројекти</w:t>
      </w:r>
    </w:p>
    <w:p w14:paraId="437AC55B">
      <w:pPr>
        <w:rPr>
          <w:sz w:val="22"/>
          <w:szCs w:val="22"/>
        </w:rPr>
      </w:pPr>
    </w:p>
    <w:p w14:paraId="57F21F94">
      <w:pPr>
        <w:rPr>
          <w:sz w:val="22"/>
          <w:szCs w:val="22"/>
        </w:rPr>
      </w:pPr>
      <w:r>
        <w:rPr>
          <w:sz w:val="22"/>
          <w:szCs w:val="22"/>
        </w:rPr>
        <w:t>Капитални пројекти су пројекти изградње и капиталног одржавања зграда и грађевинских објеката инфраструктуре од интереса за локалну самоуправу, укључујући услуге пројектног планирања које је саставни део пројекта, обезбеђивање земљишта за изградњу , као и пројекти који подразумевају улагања у опрему, машине и другу нефинансијску имовину, а у функцију су јавног интереса.</w:t>
      </w:r>
    </w:p>
    <w:p w14:paraId="7EB263B4">
      <w:pPr>
        <w:rPr>
          <w:sz w:val="22"/>
          <w:szCs w:val="22"/>
        </w:rPr>
      </w:pPr>
      <w:r>
        <w:rPr>
          <w:sz w:val="22"/>
          <w:szCs w:val="22"/>
        </w:rPr>
        <w:t>Капитални пројекти планирају се и укључују у буџет у складу са одредбама Уредбе о капиталним пројектима („Сл. Гласник РС“, бр.79/23).</w:t>
      </w:r>
    </w:p>
    <w:p w14:paraId="1CA7E2A9">
      <w:pPr>
        <w:pStyle w:val="20"/>
        <w:ind w:left="0" w:firstLine="720"/>
        <w:rPr>
          <w:b/>
          <w:color w:val="FF4000"/>
          <w:sz w:val="22"/>
          <w:szCs w:val="22"/>
        </w:rPr>
      </w:pPr>
    </w:p>
    <w:p w14:paraId="2C929C6D">
      <w:pPr>
        <w:pStyle w:val="20"/>
        <w:numPr>
          <w:ilvl w:val="0"/>
          <w:numId w:val="5"/>
        </w:numPr>
        <w:ind w:left="0" w:leftChars="0" w:firstLine="720" w:firstLineChars="0"/>
        <w:rPr>
          <w:sz w:val="22"/>
          <w:szCs w:val="22"/>
        </w:rPr>
      </w:pPr>
      <w:r>
        <w:rPr>
          <w:rFonts w:hint="default"/>
          <w:b/>
          <w:sz w:val="22"/>
          <w:szCs w:val="22"/>
          <w:lang w:val="sr-Cyrl-RS"/>
        </w:rPr>
        <w:t>П</w:t>
      </w:r>
      <w:r>
        <w:rPr>
          <w:b/>
          <w:sz w:val="22"/>
          <w:szCs w:val="22"/>
        </w:rPr>
        <w:t>роцена прихода и примања и расхода и издатака буџета општине ћићевац  за 202</w:t>
      </w:r>
      <w:r>
        <w:rPr>
          <w:rFonts w:hint="default"/>
          <w:b/>
          <w:sz w:val="22"/>
          <w:szCs w:val="22"/>
          <w:lang w:val="en-US"/>
        </w:rPr>
        <w:t>6</w:t>
      </w:r>
      <w:r>
        <w:rPr>
          <w:b/>
          <w:sz w:val="22"/>
          <w:szCs w:val="22"/>
        </w:rPr>
        <w:t>. годину и наредне две фискалне године</w:t>
      </w:r>
      <w:r>
        <w:rPr>
          <w:sz w:val="22"/>
          <w:szCs w:val="22"/>
        </w:rPr>
        <w:t xml:space="preserve"> </w:t>
      </w:r>
    </w:p>
    <w:p w14:paraId="0F87D2C0">
      <w:pPr>
        <w:pStyle w:val="20"/>
        <w:ind w:left="0" w:firstLine="720"/>
      </w:pPr>
    </w:p>
    <w:p w14:paraId="68ACB85C">
      <w:pPr>
        <w:pStyle w:val="20"/>
        <w:ind w:left="0" w:firstLine="720"/>
        <w:jc w:val="both"/>
      </w:pPr>
      <w:r>
        <w:t>Законом о буџетском систему утврђено је да се пројектовање прихода и расхода врши за 20</w:t>
      </w:r>
      <w:r>
        <w:rPr>
          <w:rFonts w:hint="default"/>
          <w:lang w:val="en-US"/>
        </w:rPr>
        <w:t>26</w:t>
      </w:r>
      <w:r>
        <w:t>. годину и наредне две године (202</w:t>
      </w:r>
      <w:r>
        <w:rPr>
          <w:rFonts w:hint="default"/>
          <w:lang w:val="en-US"/>
        </w:rPr>
        <w:t>7</w:t>
      </w:r>
      <w:r>
        <w:t>.г. и 202</w:t>
      </w:r>
      <w:r>
        <w:rPr>
          <w:rFonts w:hint="default"/>
          <w:lang w:val="en-US"/>
        </w:rPr>
        <w:t>8</w:t>
      </w:r>
      <w:r>
        <w:t xml:space="preserve">г.). </w:t>
      </w:r>
    </w:p>
    <w:p w14:paraId="45298C7F">
      <w:pPr>
        <w:pStyle w:val="20"/>
        <w:ind w:left="0" w:firstLine="720"/>
        <w:jc w:val="both"/>
      </w:pPr>
      <w:r>
        <w:t>Полазна основа за планирање обима буџета за 202</w:t>
      </w:r>
      <w:r>
        <w:rPr>
          <w:rFonts w:hint="default"/>
          <w:lang w:val="en-US"/>
        </w:rPr>
        <w:t>6</w:t>
      </w:r>
      <w:r>
        <w:t>. годину били су планирани приходи и примања из Одлуке о буџету општине Ћићевац за 202</w:t>
      </w:r>
      <w:r>
        <w:rPr>
          <w:rFonts w:hint="default"/>
          <w:lang w:val="en-US"/>
        </w:rPr>
        <w:t>5</w:t>
      </w:r>
      <w:r>
        <w:t xml:space="preserve">. годину , као и планирани расходи и издаци из исте Одлуке из извора 01 – Приходи из буџета. </w:t>
      </w:r>
    </w:p>
    <w:p w14:paraId="65FFAD44">
      <w:pPr>
        <w:pStyle w:val="20"/>
        <w:ind w:left="0" w:firstLine="720"/>
        <w:jc w:val="both"/>
      </w:pPr>
      <w:r>
        <w:t xml:space="preserve"> Пројекција прихода и примања буџета општине Ћићевац за период 202</w:t>
      </w:r>
      <w:r>
        <w:rPr>
          <w:rFonts w:hint="default"/>
          <w:lang w:val="en-US"/>
        </w:rPr>
        <w:t>6</w:t>
      </w:r>
      <w:r>
        <w:t>-202</w:t>
      </w:r>
      <w:r>
        <w:rPr>
          <w:rFonts w:hint="default"/>
          <w:lang w:val="en-US"/>
        </w:rPr>
        <w:t>8</w:t>
      </w:r>
      <w:r>
        <w:t xml:space="preserve">. године, извршена је на следећи начин у динарима: </w:t>
      </w:r>
    </w:p>
    <w:p w14:paraId="1CA6EE56">
      <w:pPr>
        <w:pStyle w:val="20"/>
        <w:ind w:left="0" w:firstLine="720"/>
        <w:jc w:val="both"/>
      </w:pPr>
    </w:p>
    <w:p w14:paraId="4B120A8B">
      <w:pPr>
        <w:pStyle w:val="20"/>
        <w:ind w:left="0" w:firstLine="720"/>
        <w:jc w:val="both"/>
      </w:pPr>
      <w:r>
        <w:t>Табела: Пројекција прихода и примања за 202</w:t>
      </w:r>
      <w:r>
        <w:rPr>
          <w:rFonts w:hint="default"/>
          <w:lang w:val="en-US"/>
        </w:rPr>
        <w:t>6</w:t>
      </w:r>
      <w:r>
        <w:t>.-202</w:t>
      </w:r>
      <w:r>
        <w:rPr>
          <w:rFonts w:hint="default"/>
          <w:lang w:val="en-US"/>
        </w:rPr>
        <w:t>8</w:t>
      </w:r>
      <w:r>
        <w:t>.</w:t>
      </w:r>
    </w:p>
    <w:p w14:paraId="0E2B6445">
      <w:pPr>
        <w:pStyle w:val="20"/>
        <w:ind w:left="0" w:firstLine="720"/>
      </w:pPr>
    </w:p>
    <w:tbl>
      <w:tblPr>
        <w:tblStyle w:val="12"/>
        <w:tblW w:w="8103"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716"/>
        <w:gridCol w:w="2966"/>
        <w:gridCol w:w="1473"/>
        <w:gridCol w:w="1473"/>
        <w:gridCol w:w="1475"/>
      </w:tblGrid>
      <w:tr w14:paraId="752A01B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60" w:hRule="atLeast"/>
        </w:trPr>
        <w:tc>
          <w:tcPr>
            <w:tcW w:w="716" w:type="dxa"/>
            <w:vMerge w:val="restart"/>
          </w:tcPr>
          <w:p w14:paraId="31B26284">
            <w:pPr>
              <w:pStyle w:val="20"/>
              <w:spacing w:after="0" w:line="240" w:lineRule="auto"/>
              <w:ind w:left="0"/>
              <w:rPr>
                <w:sz w:val="18"/>
                <w:szCs w:val="18"/>
              </w:rPr>
            </w:pPr>
            <w:r>
              <w:rPr>
                <w:sz w:val="18"/>
                <w:szCs w:val="18"/>
              </w:rPr>
              <w:t>Екон.</w:t>
            </w:r>
          </w:p>
          <w:p w14:paraId="237A2551">
            <w:pPr>
              <w:pStyle w:val="20"/>
              <w:spacing w:after="0" w:line="240" w:lineRule="auto"/>
              <w:ind w:left="0"/>
              <w:rPr>
                <w:sz w:val="18"/>
                <w:szCs w:val="18"/>
              </w:rPr>
            </w:pPr>
            <w:r>
              <w:rPr>
                <w:sz w:val="18"/>
                <w:szCs w:val="18"/>
              </w:rPr>
              <w:t>клас.</w:t>
            </w:r>
          </w:p>
        </w:tc>
        <w:tc>
          <w:tcPr>
            <w:tcW w:w="2966" w:type="dxa"/>
            <w:vMerge w:val="restart"/>
          </w:tcPr>
          <w:p w14:paraId="1FF65338">
            <w:pPr>
              <w:pStyle w:val="20"/>
              <w:spacing w:after="0" w:line="240" w:lineRule="auto"/>
              <w:ind w:left="0"/>
              <w:jc w:val="center"/>
              <w:rPr>
                <w:sz w:val="18"/>
                <w:szCs w:val="18"/>
              </w:rPr>
            </w:pPr>
            <w:r>
              <w:rPr>
                <w:sz w:val="18"/>
                <w:szCs w:val="18"/>
              </w:rPr>
              <w:t>Врста прихода</w:t>
            </w:r>
          </w:p>
        </w:tc>
        <w:tc>
          <w:tcPr>
            <w:tcW w:w="4421" w:type="dxa"/>
            <w:gridSpan w:val="3"/>
          </w:tcPr>
          <w:p w14:paraId="47E34710">
            <w:pPr>
              <w:pStyle w:val="20"/>
              <w:spacing w:after="0" w:line="240" w:lineRule="auto"/>
              <w:ind w:left="0"/>
              <w:jc w:val="center"/>
              <w:rPr>
                <w:sz w:val="18"/>
                <w:szCs w:val="18"/>
              </w:rPr>
            </w:pPr>
            <w:r>
              <w:rPr>
                <w:sz w:val="18"/>
                <w:szCs w:val="18"/>
              </w:rPr>
              <w:t>Пројекција за</w:t>
            </w:r>
          </w:p>
        </w:tc>
      </w:tr>
      <w:tr w14:paraId="355FABF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72" w:hRule="atLeast"/>
        </w:trPr>
        <w:tc>
          <w:tcPr>
            <w:tcW w:w="716" w:type="dxa"/>
            <w:vMerge w:val="continue"/>
          </w:tcPr>
          <w:p w14:paraId="679169BA">
            <w:pPr>
              <w:pStyle w:val="20"/>
              <w:spacing w:after="0" w:line="240" w:lineRule="auto"/>
              <w:ind w:left="0"/>
              <w:rPr>
                <w:sz w:val="18"/>
                <w:szCs w:val="18"/>
              </w:rPr>
            </w:pPr>
          </w:p>
        </w:tc>
        <w:tc>
          <w:tcPr>
            <w:tcW w:w="2966" w:type="dxa"/>
            <w:vMerge w:val="continue"/>
          </w:tcPr>
          <w:p w14:paraId="5091FC15">
            <w:pPr>
              <w:pStyle w:val="20"/>
              <w:spacing w:after="0" w:line="240" w:lineRule="auto"/>
              <w:ind w:left="0"/>
              <w:rPr>
                <w:sz w:val="18"/>
                <w:szCs w:val="18"/>
              </w:rPr>
            </w:pPr>
          </w:p>
        </w:tc>
        <w:tc>
          <w:tcPr>
            <w:tcW w:w="1473" w:type="dxa"/>
          </w:tcPr>
          <w:p w14:paraId="0B80809B">
            <w:pPr>
              <w:pStyle w:val="20"/>
              <w:spacing w:after="0" w:line="240" w:lineRule="auto"/>
              <w:ind w:left="0"/>
              <w:jc w:val="center"/>
              <w:rPr>
                <w:sz w:val="18"/>
                <w:szCs w:val="18"/>
              </w:rPr>
            </w:pPr>
            <w:r>
              <w:rPr>
                <w:b/>
                <w:bCs/>
                <w:sz w:val="18"/>
                <w:szCs w:val="18"/>
              </w:rPr>
              <w:t>202</w:t>
            </w:r>
            <w:r>
              <w:rPr>
                <w:rFonts w:hint="default"/>
                <w:b/>
                <w:bCs/>
                <w:sz w:val="18"/>
                <w:szCs w:val="18"/>
                <w:lang w:val="en-US"/>
              </w:rPr>
              <w:t>6</w:t>
            </w:r>
            <w:r>
              <w:rPr>
                <w:b/>
                <w:bCs/>
                <w:sz w:val="18"/>
                <w:szCs w:val="18"/>
              </w:rPr>
              <w:t>.</w:t>
            </w:r>
          </w:p>
        </w:tc>
        <w:tc>
          <w:tcPr>
            <w:tcW w:w="2948" w:type="dxa"/>
            <w:gridSpan w:val="2"/>
          </w:tcPr>
          <w:p w14:paraId="5BD27F04">
            <w:pPr>
              <w:pStyle w:val="20"/>
              <w:spacing w:after="0" w:line="240" w:lineRule="auto"/>
              <w:ind w:left="0"/>
              <w:jc w:val="center"/>
              <w:rPr>
                <w:sz w:val="18"/>
                <w:szCs w:val="18"/>
              </w:rPr>
            </w:pPr>
            <w:r>
              <w:rPr>
                <w:b/>
                <w:bCs/>
                <w:sz w:val="18"/>
                <w:szCs w:val="18"/>
              </w:rPr>
              <w:t>202</w:t>
            </w:r>
            <w:r>
              <w:rPr>
                <w:rFonts w:hint="default"/>
                <w:b/>
                <w:bCs/>
                <w:sz w:val="18"/>
                <w:szCs w:val="18"/>
                <w:lang w:val="en-US"/>
              </w:rPr>
              <w:t>7</w:t>
            </w:r>
            <w:r>
              <w:rPr>
                <w:b/>
                <w:bCs/>
                <w:sz w:val="18"/>
                <w:szCs w:val="18"/>
              </w:rPr>
              <w:t>.                         202</w:t>
            </w:r>
            <w:r>
              <w:rPr>
                <w:rFonts w:hint="default"/>
                <w:b/>
                <w:bCs/>
                <w:sz w:val="18"/>
                <w:szCs w:val="18"/>
                <w:lang w:val="en-US"/>
              </w:rPr>
              <w:t>8</w:t>
            </w:r>
            <w:r>
              <w:rPr>
                <w:b/>
                <w:bCs/>
                <w:sz w:val="18"/>
                <w:szCs w:val="18"/>
              </w:rPr>
              <w:t>.</w:t>
            </w:r>
          </w:p>
        </w:tc>
      </w:tr>
      <w:tr w14:paraId="57A9923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16" w:type="dxa"/>
          </w:tcPr>
          <w:p w14:paraId="3254478B">
            <w:pPr>
              <w:pStyle w:val="20"/>
              <w:spacing w:after="0" w:line="240" w:lineRule="auto"/>
              <w:ind w:left="0"/>
              <w:rPr>
                <w:sz w:val="18"/>
                <w:szCs w:val="18"/>
              </w:rPr>
            </w:pPr>
            <w:r>
              <w:rPr>
                <w:sz w:val="18"/>
                <w:szCs w:val="18"/>
              </w:rPr>
              <w:t>71</w:t>
            </w:r>
          </w:p>
        </w:tc>
        <w:tc>
          <w:tcPr>
            <w:tcW w:w="2966" w:type="dxa"/>
          </w:tcPr>
          <w:p w14:paraId="66497729">
            <w:pPr>
              <w:pStyle w:val="20"/>
              <w:spacing w:after="0" w:line="240" w:lineRule="auto"/>
              <w:ind w:left="0"/>
              <w:rPr>
                <w:sz w:val="18"/>
                <w:szCs w:val="18"/>
              </w:rPr>
            </w:pPr>
            <w:r>
              <w:rPr>
                <w:sz w:val="18"/>
                <w:szCs w:val="18"/>
              </w:rPr>
              <w:t>Порези</w:t>
            </w:r>
          </w:p>
        </w:tc>
        <w:tc>
          <w:tcPr>
            <w:tcW w:w="1473" w:type="dxa"/>
          </w:tcPr>
          <w:p w14:paraId="2B6D4DAB">
            <w:pPr>
              <w:pStyle w:val="20"/>
              <w:spacing w:after="0" w:line="240" w:lineRule="auto"/>
              <w:ind w:left="0"/>
              <w:jc w:val="right"/>
              <w:rPr>
                <w:sz w:val="18"/>
                <w:szCs w:val="18"/>
              </w:rPr>
            </w:pPr>
            <w:r>
              <w:rPr>
                <w:sz w:val="18"/>
                <w:szCs w:val="18"/>
                <w:lang w:val="sr-Latn-RS"/>
              </w:rPr>
              <w:t>2</w:t>
            </w:r>
            <w:r>
              <w:rPr>
                <w:rFonts w:hint="default"/>
                <w:sz w:val="18"/>
                <w:szCs w:val="18"/>
                <w:lang w:val="en-US"/>
              </w:rPr>
              <w:t>92</w:t>
            </w:r>
            <w:r>
              <w:rPr>
                <w:sz w:val="18"/>
                <w:szCs w:val="18"/>
                <w:lang w:val="sr-Latn-RS"/>
              </w:rPr>
              <w:t>.000.000</w:t>
            </w:r>
          </w:p>
        </w:tc>
        <w:tc>
          <w:tcPr>
            <w:tcW w:w="1473" w:type="dxa"/>
            <w:vAlign w:val="top"/>
          </w:tcPr>
          <w:p w14:paraId="1B495092">
            <w:pPr>
              <w:pStyle w:val="20"/>
              <w:spacing w:after="0" w:line="240" w:lineRule="auto"/>
              <w:ind w:left="0" w:leftChars="0"/>
              <w:jc w:val="right"/>
              <w:rPr>
                <w:sz w:val="18"/>
                <w:szCs w:val="18"/>
              </w:rPr>
            </w:pPr>
            <w:r>
              <w:rPr>
                <w:sz w:val="18"/>
                <w:szCs w:val="18"/>
                <w:lang w:val="sr-Latn-RS"/>
              </w:rPr>
              <w:t>2</w:t>
            </w:r>
            <w:r>
              <w:rPr>
                <w:rFonts w:hint="default"/>
                <w:sz w:val="18"/>
                <w:szCs w:val="18"/>
                <w:lang w:val="en-US"/>
              </w:rPr>
              <w:t>92</w:t>
            </w:r>
            <w:r>
              <w:rPr>
                <w:sz w:val="18"/>
                <w:szCs w:val="18"/>
                <w:lang w:val="sr-Latn-RS"/>
              </w:rPr>
              <w:t>.000.000</w:t>
            </w:r>
          </w:p>
        </w:tc>
        <w:tc>
          <w:tcPr>
            <w:tcW w:w="1475" w:type="dxa"/>
            <w:vAlign w:val="top"/>
          </w:tcPr>
          <w:p w14:paraId="66A4B466">
            <w:pPr>
              <w:pStyle w:val="20"/>
              <w:spacing w:after="0" w:line="240" w:lineRule="auto"/>
              <w:ind w:left="0" w:leftChars="0"/>
              <w:jc w:val="right"/>
              <w:rPr>
                <w:sz w:val="18"/>
                <w:szCs w:val="18"/>
              </w:rPr>
            </w:pPr>
            <w:r>
              <w:rPr>
                <w:sz w:val="18"/>
                <w:szCs w:val="18"/>
                <w:lang w:val="sr-Latn-RS"/>
              </w:rPr>
              <w:t>2</w:t>
            </w:r>
            <w:r>
              <w:rPr>
                <w:rFonts w:hint="default"/>
                <w:sz w:val="18"/>
                <w:szCs w:val="18"/>
                <w:lang w:val="en-US"/>
              </w:rPr>
              <w:t>92</w:t>
            </w:r>
            <w:r>
              <w:rPr>
                <w:sz w:val="18"/>
                <w:szCs w:val="18"/>
                <w:lang w:val="sr-Latn-RS"/>
              </w:rPr>
              <w:t>.000.000</w:t>
            </w:r>
          </w:p>
        </w:tc>
      </w:tr>
      <w:tr w14:paraId="117805D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16" w:type="dxa"/>
          </w:tcPr>
          <w:p w14:paraId="1F5ADD56">
            <w:pPr>
              <w:pStyle w:val="20"/>
              <w:spacing w:after="0" w:line="240" w:lineRule="auto"/>
              <w:ind w:left="0"/>
              <w:rPr>
                <w:sz w:val="18"/>
                <w:szCs w:val="18"/>
              </w:rPr>
            </w:pPr>
            <w:r>
              <w:rPr>
                <w:sz w:val="18"/>
                <w:szCs w:val="18"/>
              </w:rPr>
              <w:t>73</w:t>
            </w:r>
          </w:p>
        </w:tc>
        <w:tc>
          <w:tcPr>
            <w:tcW w:w="2966" w:type="dxa"/>
          </w:tcPr>
          <w:p w14:paraId="7BE9FD29">
            <w:pPr>
              <w:pStyle w:val="20"/>
              <w:spacing w:after="0" w:line="240" w:lineRule="auto"/>
              <w:ind w:left="0"/>
              <w:rPr>
                <w:sz w:val="18"/>
                <w:szCs w:val="18"/>
              </w:rPr>
            </w:pPr>
            <w:r>
              <w:rPr>
                <w:sz w:val="18"/>
                <w:szCs w:val="18"/>
              </w:rPr>
              <w:t>Донације и трансфери</w:t>
            </w:r>
          </w:p>
        </w:tc>
        <w:tc>
          <w:tcPr>
            <w:tcW w:w="1473" w:type="dxa"/>
          </w:tcPr>
          <w:p w14:paraId="5AA214B0">
            <w:pPr>
              <w:pStyle w:val="20"/>
              <w:spacing w:after="0" w:line="240" w:lineRule="auto"/>
              <w:ind w:left="0"/>
              <w:jc w:val="right"/>
              <w:rPr>
                <w:sz w:val="18"/>
                <w:szCs w:val="18"/>
              </w:rPr>
            </w:pPr>
            <w:r>
              <w:rPr>
                <w:sz w:val="18"/>
                <w:szCs w:val="18"/>
                <w:lang w:val="sr-Latn-RS"/>
              </w:rPr>
              <w:t>1</w:t>
            </w:r>
            <w:r>
              <w:rPr>
                <w:rFonts w:hint="default"/>
                <w:sz w:val="18"/>
                <w:szCs w:val="18"/>
                <w:lang w:val="en-US"/>
              </w:rPr>
              <w:t>1</w:t>
            </w:r>
            <w:r>
              <w:rPr>
                <w:sz w:val="18"/>
                <w:szCs w:val="18"/>
                <w:lang w:val="sr-Latn-RS"/>
              </w:rPr>
              <w:t>5.000.000</w:t>
            </w:r>
          </w:p>
        </w:tc>
        <w:tc>
          <w:tcPr>
            <w:tcW w:w="1473" w:type="dxa"/>
            <w:vAlign w:val="top"/>
          </w:tcPr>
          <w:p w14:paraId="17009B73">
            <w:pPr>
              <w:pStyle w:val="20"/>
              <w:spacing w:after="0" w:line="240" w:lineRule="auto"/>
              <w:ind w:left="0" w:leftChars="0"/>
              <w:jc w:val="right"/>
              <w:rPr>
                <w:sz w:val="18"/>
                <w:szCs w:val="18"/>
              </w:rPr>
            </w:pPr>
            <w:r>
              <w:rPr>
                <w:sz w:val="18"/>
                <w:szCs w:val="18"/>
                <w:lang w:val="sr-Latn-RS"/>
              </w:rPr>
              <w:t>1</w:t>
            </w:r>
            <w:r>
              <w:rPr>
                <w:rFonts w:hint="default"/>
                <w:sz w:val="18"/>
                <w:szCs w:val="18"/>
                <w:lang w:val="en-US"/>
              </w:rPr>
              <w:t>1</w:t>
            </w:r>
            <w:r>
              <w:rPr>
                <w:sz w:val="18"/>
                <w:szCs w:val="18"/>
                <w:lang w:val="sr-Latn-RS"/>
              </w:rPr>
              <w:t>5.000.000</w:t>
            </w:r>
          </w:p>
        </w:tc>
        <w:tc>
          <w:tcPr>
            <w:tcW w:w="1475" w:type="dxa"/>
            <w:vAlign w:val="top"/>
          </w:tcPr>
          <w:p w14:paraId="0D5859C1">
            <w:pPr>
              <w:pStyle w:val="20"/>
              <w:spacing w:after="0" w:line="240" w:lineRule="auto"/>
              <w:ind w:left="0" w:leftChars="0"/>
              <w:jc w:val="right"/>
              <w:rPr>
                <w:sz w:val="18"/>
                <w:szCs w:val="18"/>
              </w:rPr>
            </w:pPr>
            <w:r>
              <w:rPr>
                <w:sz w:val="18"/>
                <w:szCs w:val="18"/>
                <w:lang w:val="sr-Latn-RS"/>
              </w:rPr>
              <w:t>1</w:t>
            </w:r>
            <w:r>
              <w:rPr>
                <w:rFonts w:hint="default"/>
                <w:sz w:val="18"/>
                <w:szCs w:val="18"/>
                <w:lang w:val="en-US"/>
              </w:rPr>
              <w:t>1</w:t>
            </w:r>
            <w:r>
              <w:rPr>
                <w:sz w:val="18"/>
                <w:szCs w:val="18"/>
                <w:lang w:val="sr-Latn-RS"/>
              </w:rPr>
              <w:t>5.000.000</w:t>
            </w:r>
          </w:p>
        </w:tc>
      </w:tr>
      <w:tr w14:paraId="525C3E8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16" w:type="dxa"/>
          </w:tcPr>
          <w:p w14:paraId="448438C8">
            <w:pPr>
              <w:pStyle w:val="20"/>
              <w:spacing w:after="0" w:line="240" w:lineRule="auto"/>
              <w:ind w:left="0"/>
              <w:rPr>
                <w:sz w:val="18"/>
                <w:szCs w:val="18"/>
              </w:rPr>
            </w:pPr>
            <w:r>
              <w:rPr>
                <w:sz w:val="18"/>
                <w:szCs w:val="18"/>
              </w:rPr>
              <w:t>74</w:t>
            </w:r>
          </w:p>
        </w:tc>
        <w:tc>
          <w:tcPr>
            <w:tcW w:w="2966" w:type="dxa"/>
          </w:tcPr>
          <w:p w14:paraId="1F83354A">
            <w:pPr>
              <w:pStyle w:val="20"/>
              <w:spacing w:after="0" w:line="240" w:lineRule="auto"/>
              <w:ind w:left="0"/>
              <w:rPr>
                <w:sz w:val="18"/>
                <w:szCs w:val="18"/>
              </w:rPr>
            </w:pPr>
            <w:r>
              <w:rPr>
                <w:sz w:val="18"/>
                <w:szCs w:val="18"/>
              </w:rPr>
              <w:t>Други приходи</w:t>
            </w:r>
          </w:p>
        </w:tc>
        <w:tc>
          <w:tcPr>
            <w:tcW w:w="1473" w:type="dxa"/>
          </w:tcPr>
          <w:p w14:paraId="07A00930">
            <w:pPr>
              <w:pStyle w:val="20"/>
              <w:spacing w:after="0" w:line="240" w:lineRule="auto"/>
              <w:ind w:left="0"/>
              <w:jc w:val="right"/>
              <w:rPr>
                <w:sz w:val="18"/>
                <w:szCs w:val="18"/>
              </w:rPr>
            </w:pPr>
            <w:r>
              <w:rPr>
                <w:rFonts w:hint="default"/>
                <w:sz w:val="18"/>
                <w:szCs w:val="18"/>
                <w:lang w:val="en-US"/>
              </w:rPr>
              <w:t>18</w:t>
            </w:r>
            <w:r>
              <w:rPr>
                <w:sz w:val="18"/>
                <w:szCs w:val="18"/>
                <w:lang w:val="sr-Latn-RS"/>
              </w:rPr>
              <w:t>.</w:t>
            </w:r>
            <w:r>
              <w:rPr>
                <w:rFonts w:hint="default"/>
                <w:sz w:val="18"/>
                <w:szCs w:val="18"/>
                <w:lang w:val="en-US"/>
              </w:rPr>
              <w:t>5</w:t>
            </w:r>
            <w:r>
              <w:rPr>
                <w:sz w:val="18"/>
                <w:szCs w:val="18"/>
                <w:lang w:val="sr-Latn-RS"/>
              </w:rPr>
              <w:t>00.000</w:t>
            </w:r>
          </w:p>
        </w:tc>
        <w:tc>
          <w:tcPr>
            <w:tcW w:w="1473" w:type="dxa"/>
            <w:vAlign w:val="top"/>
          </w:tcPr>
          <w:p w14:paraId="218D3DD9">
            <w:pPr>
              <w:pStyle w:val="20"/>
              <w:spacing w:after="0" w:line="240" w:lineRule="auto"/>
              <w:ind w:left="0" w:leftChars="0"/>
              <w:jc w:val="right"/>
              <w:rPr>
                <w:sz w:val="18"/>
                <w:szCs w:val="18"/>
              </w:rPr>
            </w:pPr>
            <w:r>
              <w:rPr>
                <w:rFonts w:hint="default"/>
                <w:sz w:val="18"/>
                <w:szCs w:val="18"/>
                <w:lang w:val="en-US"/>
              </w:rPr>
              <w:t>18</w:t>
            </w:r>
            <w:r>
              <w:rPr>
                <w:sz w:val="18"/>
                <w:szCs w:val="18"/>
                <w:lang w:val="sr-Latn-RS"/>
              </w:rPr>
              <w:t>.</w:t>
            </w:r>
            <w:r>
              <w:rPr>
                <w:rFonts w:hint="default"/>
                <w:sz w:val="18"/>
                <w:szCs w:val="18"/>
                <w:lang w:val="en-US"/>
              </w:rPr>
              <w:t>5</w:t>
            </w:r>
            <w:r>
              <w:rPr>
                <w:sz w:val="18"/>
                <w:szCs w:val="18"/>
                <w:lang w:val="sr-Latn-RS"/>
              </w:rPr>
              <w:t>00.000</w:t>
            </w:r>
          </w:p>
        </w:tc>
        <w:tc>
          <w:tcPr>
            <w:tcW w:w="1475" w:type="dxa"/>
            <w:vAlign w:val="top"/>
          </w:tcPr>
          <w:p w14:paraId="428A6547">
            <w:pPr>
              <w:pStyle w:val="20"/>
              <w:spacing w:after="0" w:line="240" w:lineRule="auto"/>
              <w:ind w:left="0" w:leftChars="0"/>
              <w:jc w:val="right"/>
              <w:rPr>
                <w:sz w:val="18"/>
                <w:szCs w:val="18"/>
              </w:rPr>
            </w:pPr>
            <w:r>
              <w:rPr>
                <w:rFonts w:hint="default"/>
                <w:sz w:val="18"/>
                <w:szCs w:val="18"/>
                <w:lang w:val="en-US"/>
              </w:rPr>
              <w:t>18</w:t>
            </w:r>
            <w:r>
              <w:rPr>
                <w:sz w:val="18"/>
                <w:szCs w:val="18"/>
                <w:lang w:val="sr-Latn-RS"/>
              </w:rPr>
              <w:t>.</w:t>
            </w:r>
            <w:r>
              <w:rPr>
                <w:rFonts w:hint="default"/>
                <w:sz w:val="18"/>
                <w:szCs w:val="18"/>
                <w:lang w:val="en-US"/>
              </w:rPr>
              <w:t>5</w:t>
            </w:r>
            <w:r>
              <w:rPr>
                <w:sz w:val="18"/>
                <w:szCs w:val="18"/>
                <w:lang w:val="sr-Latn-RS"/>
              </w:rPr>
              <w:t>00.000</w:t>
            </w:r>
          </w:p>
        </w:tc>
      </w:tr>
      <w:tr w14:paraId="5C1056C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16" w:type="dxa"/>
          </w:tcPr>
          <w:p w14:paraId="37D7331B">
            <w:pPr>
              <w:pStyle w:val="20"/>
              <w:spacing w:after="0" w:line="240" w:lineRule="auto"/>
              <w:ind w:left="0"/>
              <w:rPr>
                <w:sz w:val="18"/>
                <w:szCs w:val="18"/>
              </w:rPr>
            </w:pPr>
            <w:r>
              <w:rPr>
                <w:sz w:val="18"/>
                <w:szCs w:val="18"/>
              </w:rPr>
              <w:t>77</w:t>
            </w:r>
          </w:p>
        </w:tc>
        <w:tc>
          <w:tcPr>
            <w:tcW w:w="2966" w:type="dxa"/>
          </w:tcPr>
          <w:p w14:paraId="55D074E4">
            <w:pPr>
              <w:pStyle w:val="20"/>
              <w:spacing w:after="0" w:line="240" w:lineRule="auto"/>
              <w:ind w:left="0"/>
              <w:rPr>
                <w:sz w:val="18"/>
                <w:szCs w:val="18"/>
              </w:rPr>
            </w:pPr>
            <w:r>
              <w:rPr>
                <w:sz w:val="18"/>
                <w:szCs w:val="18"/>
              </w:rPr>
              <w:t>Меморандумске ставке</w:t>
            </w:r>
          </w:p>
        </w:tc>
        <w:tc>
          <w:tcPr>
            <w:tcW w:w="1473" w:type="dxa"/>
          </w:tcPr>
          <w:p w14:paraId="39211FC0">
            <w:pPr>
              <w:pStyle w:val="20"/>
              <w:spacing w:after="0" w:line="240" w:lineRule="auto"/>
              <w:ind w:left="0"/>
              <w:jc w:val="right"/>
              <w:rPr>
                <w:sz w:val="18"/>
                <w:szCs w:val="18"/>
              </w:rPr>
            </w:pPr>
            <w:r>
              <w:rPr>
                <w:rFonts w:hint="default"/>
                <w:sz w:val="18"/>
                <w:szCs w:val="18"/>
                <w:lang w:val="en-US"/>
              </w:rPr>
              <w:t>1</w:t>
            </w:r>
            <w:r>
              <w:rPr>
                <w:sz w:val="18"/>
                <w:szCs w:val="18"/>
              </w:rPr>
              <w:t>00.000</w:t>
            </w:r>
          </w:p>
        </w:tc>
        <w:tc>
          <w:tcPr>
            <w:tcW w:w="1473" w:type="dxa"/>
            <w:vAlign w:val="top"/>
          </w:tcPr>
          <w:p w14:paraId="46CBE92F">
            <w:pPr>
              <w:pStyle w:val="20"/>
              <w:spacing w:after="0" w:line="240" w:lineRule="auto"/>
              <w:ind w:left="0" w:leftChars="0"/>
              <w:jc w:val="right"/>
              <w:rPr>
                <w:sz w:val="18"/>
                <w:szCs w:val="18"/>
              </w:rPr>
            </w:pPr>
            <w:r>
              <w:rPr>
                <w:rFonts w:hint="default"/>
                <w:sz w:val="18"/>
                <w:szCs w:val="18"/>
                <w:lang w:val="en-US"/>
              </w:rPr>
              <w:t>1</w:t>
            </w:r>
            <w:r>
              <w:rPr>
                <w:sz w:val="18"/>
                <w:szCs w:val="18"/>
              </w:rPr>
              <w:t>00.000</w:t>
            </w:r>
          </w:p>
        </w:tc>
        <w:tc>
          <w:tcPr>
            <w:tcW w:w="1475" w:type="dxa"/>
            <w:vAlign w:val="top"/>
          </w:tcPr>
          <w:p w14:paraId="17BD8126">
            <w:pPr>
              <w:pStyle w:val="20"/>
              <w:spacing w:after="0" w:line="240" w:lineRule="auto"/>
              <w:ind w:left="0" w:leftChars="0"/>
              <w:jc w:val="right"/>
              <w:rPr>
                <w:sz w:val="18"/>
                <w:szCs w:val="18"/>
              </w:rPr>
            </w:pPr>
            <w:r>
              <w:rPr>
                <w:rFonts w:hint="default"/>
                <w:sz w:val="18"/>
                <w:szCs w:val="18"/>
                <w:lang w:val="en-US"/>
              </w:rPr>
              <w:t>1</w:t>
            </w:r>
            <w:r>
              <w:rPr>
                <w:sz w:val="18"/>
                <w:szCs w:val="18"/>
              </w:rPr>
              <w:t>00.000</w:t>
            </w:r>
          </w:p>
        </w:tc>
      </w:tr>
      <w:tr w14:paraId="71A0741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16" w:type="dxa"/>
          </w:tcPr>
          <w:p w14:paraId="79DF3264">
            <w:pPr>
              <w:pStyle w:val="20"/>
              <w:spacing w:after="0" w:line="240" w:lineRule="auto"/>
              <w:ind w:left="0"/>
              <w:rPr>
                <w:sz w:val="18"/>
                <w:szCs w:val="18"/>
              </w:rPr>
            </w:pPr>
            <w:r>
              <w:rPr>
                <w:sz w:val="18"/>
                <w:szCs w:val="18"/>
              </w:rPr>
              <w:t>8</w:t>
            </w:r>
          </w:p>
        </w:tc>
        <w:tc>
          <w:tcPr>
            <w:tcW w:w="2966" w:type="dxa"/>
          </w:tcPr>
          <w:p w14:paraId="029D1573">
            <w:pPr>
              <w:pStyle w:val="20"/>
              <w:spacing w:after="0" w:line="240" w:lineRule="auto"/>
              <w:ind w:left="0"/>
              <w:rPr>
                <w:sz w:val="18"/>
                <w:szCs w:val="18"/>
              </w:rPr>
            </w:pPr>
            <w:r>
              <w:rPr>
                <w:sz w:val="18"/>
                <w:szCs w:val="18"/>
              </w:rPr>
              <w:t>Примања од продаје нефинансијске имовине</w:t>
            </w:r>
          </w:p>
        </w:tc>
        <w:tc>
          <w:tcPr>
            <w:tcW w:w="1473" w:type="dxa"/>
          </w:tcPr>
          <w:p w14:paraId="5F4C9EA3">
            <w:pPr>
              <w:pStyle w:val="20"/>
              <w:spacing w:after="0" w:line="240" w:lineRule="auto"/>
              <w:ind w:left="0"/>
              <w:jc w:val="right"/>
              <w:rPr>
                <w:sz w:val="18"/>
                <w:szCs w:val="18"/>
              </w:rPr>
            </w:pPr>
            <w:r>
              <w:rPr>
                <w:rFonts w:hint="default"/>
                <w:sz w:val="18"/>
                <w:szCs w:val="18"/>
                <w:lang w:val="en-US"/>
              </w:rPr>
              <w:t>0</w:t>
            </w:r>
          </w:p>
        </w:tc>
        <w:tc>
          <w:tcPr>
            <w:tcW w:w="1473" w:type="dxa"/>
          </w:tcPr>
          <w:p w14:paraId="196EC676">
            <w:pPr>
              <w:pStyle w:val="20"/>
              <w:spacing w:after="0" w:line="240" w:lineRule="auto"/>
              <w:ind w:left="0"/>
              <w:jc w:val="right"/>
              <w:rPr>
                <w:sz w:val="18"/>
                <w:szCs w:val="18"/>
              </w:rPr>
            </w:pPr>
            <w:r>
              <w:rPr>
                <w:rFonts w:hint="default"/>
                <w:sz w:val="18"/>
                <w:szCs w:val="18"/>
                <w:lang w:val="en-US"/>
              </w:rPr>
              <w:t>0</w:t>
            </w:r>
          </w:p>
        </w:tc>
        <w:tc>
          <w:tcPr>
            <w:tcW w:w="1475" w:type="dxa"/>
          </w:tcPr>
          <w:p w14:paraId="49C04EEB">
            <w:pPr>
              <w:pStyle w:val="20"/>
              <w:spacing w:after="0" w:line="240" w:lineRule="auto"/>
              <w:ind w:left="0"/>
              <w:jc w:val="right"/>
              <w:rPr>
                <w:sz w:val="18"/>
                <w:szCs w:val="18"/>
              </w:rPr>
            </w:pPr>
            <w:r>
              <w:rPr>
                <w:rFonts w:hint="default"/>
                <w:sz w:val="18"/>
                <w:szCs w:val="18"/>
                <w:lang w:val="en-US"/>
              </w:rPr>
              <w:t>0</w:t>
            </w:r>
          </w:p>
        </w:tc>
      </w:tr>
      <w:tr w14:paraId="7E99C5D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16" w:type="dxa"/>
          </w:tcPr>
          <w:p w14:paraId="3392BE0C">
            <w:pPr>
              <w:pStyle w:val="20"/>
              <w:spacing w:after="0" w:line="240" w:lineRule="auto"/>
              <w:ind w:left="0"/>
              <w:rPr>
                <w:sz w:val="18"/>
                <w:szCs w:val="18"/>
              </w:rPr>
            </w:pPr>
            <w:r>
              <w:rPr>
                <w:sz w:val="18"/>
                <w:szCs w:val="18"/>
              </w:rPr>
              <w:t>9</w:t>
            </w:r>
          </w:p>
        </w:tc>
        <w:tc>
          <w:tcPr>
            <w:tcW w:w="2966" w:type="dxa"/>
          </w:tcPr>
          <w:p w14:paraId="1F91999E">
            <w:pPr>
              <w:pStyle w:val="20"/>
              <w:spacing w:after="0" w:line="240" w:lineRule="auto"/>
              <w:ind w:left="0"/>
              <w:rPr>
                <w:sz w:val="18"/>
                <w:szCs w:val="18"/>
              </w:rPr>
            </w:pPr>
            <w:r>
              <w:rPr>
                <w:sz w:val="18"/>
                <w:szCs w:val="18"/>
              </w:rPr>
              <w:t>Примања од задуживање</w:t>
            </w:r>
          </w:p>
        </w:tc>
        <w:tc>
          <w:tcPr>
            <w:tcW w:w="1473" w:type="dxa"/>
          </w:tcPr>
          <w:p w14:paraId="2FBF1246">
            <w:pPr>
              <w:pStyle w:val="20"/>
              <w:spacing w:after="0" w:line="240" w:lineRule="auto"/>
              <w:ind w:left="0"/>
              <w:jc w:val="right"/>
              <w:rPr>
                <w:sz w:val="18"/>
                <w:szCs w:val="18"/>
              </w:rPr>
            </w:pPr>
            <w:r>
              <w:rPr>
                <w:sz w:val="18"/>
                <w:szCs w:val="18"/>
              </w:rPr>
              <w:t>0</w:t>
            </w:r>
          </w:p>
        </w:tc>
        <w:tc>
          <w:tcPr>
            <w:tcW w:w="1473" w:type="dxa"/>
          </w:tcPr>
          <w:p w14:paraId="502CD308">
            <w:pPr>
              <w:pStyle w:val="20"/>
              <w:spacing w:after="0" w:line="240" w:lineRule="auto"/>
              <w:ind w:left="0"/>
              <w:jc w:val="right"/>
              <w:rPr>
                <w:sz w:val="18"/>
                <w:szCs w:val="18"/>
              </w:rPr>
            </w:pPr>
            <w:r>
              <w:rPr>
                <w:sz w:val="18"/>
                <w:szCs w:val="18"/>
              </w:rPr>
              <w:t>0</w:t>
            </w:r>
          </w:p>
        </w:tc>
        <w:tc>
          <w:tcPr>
            <w:tcW w:w="1475" w:type="dxa"/>
          </w:tcPr>
          <w:p w14:paraId="62A8BE4F">
            <w:pPr>
              <w:pStyle w:val="20"/>
              <w:spacing w:after="0" w:line="240" w:lineRule="auto"/>
              <w:ind w:left="0"/>
              <w:jc w:val="right"/>
              <w:rPr>
                <w:sz w:val="18"/>
                <w:szCs w:val="18"/>
              </w:rPr>
            </w:pPr>
            <w:r>
              <w:rPr>
                <w:sz w:val="18"/>
                <w:szCs w:val="18"/>
              </w:rPr>
              <w:t>0</w:t>
            </w:r>
          </w:p>
        </w:tc>
      </w:tr>
      <w:tr w14:paraId="4E38640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16" w:type="dxa"/>
          </w:tcPr>
          <w:p w14:paraId="6C47036B">
            <w:pPr>
              <w:pStyle w:val="20"/>
              <w:spacing w:after="0" w:line="240" w:lineRule="auto"/>
              <w:ind w:left="0"/>
              <w:rPr>
                <w:sz w:val="18"/>
                <w:szCs w:val="18"/>
              </w:rPr>
            </w:pPr>
          </w:p>
        </w:tc>
        <w:tc>
          <w:tcPr>
            <w:tcW w:w="2966" w:type="dxa"/>
          </w:tcPr>
          <w:p w14:paraId="7B5B2311">
            <w:pPr>
              <w:pStyle w:val="20"/>
              <w:spacing w:after="0" w:line="240" w:lineRule="auto"/>
              <w:ind w:left="0"/>
              <w:rPr>
                <w:sz w:val="18"/>
                <w:szCs w:val="18"/>
              </w:rPr>
            </w:pPr>
            <w:r>
              <w:rPr>
                <w:sz w:val="18"/>
                <w:szCs w:val="18"/>
              </w:rPr>
              <w:t>Укупни приходи и примања:</w:t>
            </w:r>
          </w:p>
        </w:tc>
        <w:tc>
          <w:tcPr>
            <w:tcW w:w="1473" w:type="dxa"/>
          </w:tcPr>
          <w:p w14:paraId="725D4579">
            <w:pPr>
              <w:pStyle w:val="20"/>
              <w:spacing w:after="0" w:line="240" w:lineRule="auto"/>
              <w:ind w:left="0"/>
              <w:jc w:val="right"/>
              <w:rPr>
                <w:sz w:val="18"/>
                <w:szCs w:val="18"/>
              </w:rPr>
            </w:pPr>
            <w:r>
              <w:rPr>
                <w:rFonts w:hint="default"/>
                <w:sz w:val="18"/>
                <w:szCs w:val="18"/>
                <w:lang w:val="en-US"/>
              </w:rPr>
              <w:t>426.600</w:t>
            </w:r>
            <w:r>
              <w:rPr>
                <w:sz w:val="18"/>
                <w:szCs w:val="18"/>
              </w:rPr>
              <w:t>.000</w:t>
            </w:r>
          </w:p>
        </w:tc>
        <w:tc>
          <w:tcPr>
            <w:tcW w:w="1473" w:type="dxa"/>
          </w:tcPr>
          <w:p w14:paraId="7F3F2E5C">
            <w:pPr>
              <w:pStyle w:val="20"/>
              <w:spacing w:after="0" w:line="240" w:lineRule="auto"/>
              <w:ind w:left="0"/>
              <w:jc w:val="right"/>
              <w:rPr>
                <w:sz w:val="18"/>
                <w:szCs w:val="18"/>
              </w:rPr>
            </w:pPr>
            <w:r>
              <w:rPr>
                <w:rFonts w:hint="default"/>
                <w:sz w:val="18"/>
                <w:szCs w:val="18"/>
                <w:lang w:val="en-US"/>
              </w:rPr>
              <w:t>426.600</w:t>
            </w:r>
            <w:r>
              <w:rPr>
                <w:sz w:val="18"/>
                <w:szCs w:val="18"/>
              </w:rPr>
              <w:t>.000</w:t>
            </w:r>
          </w:p>
        </w:tc>
        <w:tc>
          <w:tcPr>
            <w:tcW w:w="1475" w:type="dxa"/>
          </w:tcPr>
          <w:p w14:paraId="35E285EB">
            <w:pPr>
              <w:pStyle w:val="20"/>
              <w:spacing w:after="0" w:line="240" w:lineRule="auto"/>
              <w:ind w:left="0"/>
              <w:jc w:val="right"/>
              <w:rPr>
                <w:sz w:val="18"/>
                <w:szCs w:val="18"/>
              </w:rPr>
            </w:pPr>
            <w:r>
              <w:rPr>
                <w:rFonts w:hint="default"/>
                <w:sz w:val="18"/>
                <w:szCs w:val="18"/>
                <w:lang w:val="en-US"/>
              </w:rPr>
              <w:t>426.600</w:t>
            </w:r>
            <w:r>
              <w:rPr>
                <w:sz w:val="18"/>
                <w:szCs w:val="18"/>
              </w:rPr>
              <w:t>.000</w:t>
            </w:r>
          </w:p>
        </w:tc>
      </w:tr>
    </w:tbl>
    <w:p w14:paraId="2B6521CF">
      <w:pPr>
        <w:pStyle w:val="20"/>
        <w:ind w:left="0" w:firstLine="720"/>
        <w:rPr>
          <w:color w:val="C00000"/>
        </w:rPr>
      </w:pPr>
    </w:p>
    <w:p w14:paraId="0B7F74A7">
      <w:pPr>
        <w:pStyle w:val="20"/>
        <w:ind w:left="0" w:firstLine="720"/>
      </w:pPr>
    </w:p>
    <w:p w14:paraId="33AADB86">
      <w:pPr>
        <w:pStyle w:val="20"/>
        <w:ind w:left="0" w:firstLine="720"/>
      </w:pPr>
      <w:r>
        <w:t>Пројекција расхода и издатака буџета општине Ћићевац  за период 202</w:t>
      </w:r>
      <w:r>
        <w:rPr>
          <w:rFonts w:hint="default"/>
          <w:lang w:val="en-US"/>
        </w:rPr>
        <w:t>6</w:t>
      </w:r>
      <w:r>
        <w:t>.-202</w:t>
      </w:r>
      <w:r>
        <w:rPr>
          <w:rFonts w:hint="default"/>
          <w:lang w:val="en-US"/>
        </w:rPr>
        <w:t>8</w:t>
      </w:r>
      <w:r>
        <w:t xml:space="preserve">. године, извршена је на следећи начин у динарима: </w:t>
      </w:r>
    </w:p>
    <w:p w14:paraId="3CB467A4">
      <w:pPr>
        <w:pStyle w:val="20"/>
        <w:ind w:left="0" w:firstLine="720"/>
      </w:pPr>
    </w:p>
    <w:p w14:paraId="6FF8CEC0">
      <w:pPr>
        <w:pStyle w:val="20"/>
        <w:ind w:left="0" w:firstLine="720"/>
      </w:pPr>
    </w:p>
    <w:p w14:paraId="3720833A">
      <w:pPr>
        <w:pStyle w:val="20"/>
        <w:ind w:left="0" w:firstLine="720"/>
      </w:pPr>
      <w:r>
        <w:t>Табела: Пројекција расхода и издатака за 202</w:t>
      </w:r>
      <w:r>
        <w:rPr>
          <w:rFonts w:hint="default"/>
          <w:lang w:val="en-US"/>
        </w:rPr>
        <w:t>6</w:t>
      </w:r>
      <w:r>
        <w:t>.-202</w:t>
      </w:r>
      <w:r>
        <w:rPr>
          <w:rFonts w:hint="default"/>
          <w:lang w:val="en-US"/>
        </w:rPr>
        <w:t>8</w:t>
      </w:r>
      <w:r>
        <w:t>.</w:t>
      </w:r>
    </w:p>
    <w:p w14:paraId="75571C10">
      <w:pPr>
        <w:pStyle w:val="20"/>
        <w:ind w:left="0" w:firstLine="720"/>
      </w:pPr>
    </w:p>
    <w:tbl>
      <w:tblPr>
        <w:tblStyle w:val="12"/>
        <w:tblW w:w="8193"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770"/>
        <w:gridCol w:w="2975"/>
        <w:gridCol w:w="1480"/>
        <w:gridCol w:w="1485"/>
        <w:gridCol w:w="1483"/>
      </w:tblGrid>
      <w:tr w14:paraId="2223130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60" w:hRule="atLeast"/>
        </w:trPr>
        <w:tc>
          <w:tcPr>
            <w:tcW w:w="770" w:type="dxa"/>
            <w:vMerge w:val="restart"/>
          </w:tcPr>
          <w:p w14:paraId="29DC8368">
            <w:pPr>
              <w:pStyle w:val="20"/>
              <w:spacing w:after="0" w:line="240" w:lineRule="auto"/>
              <w:ind w:left="0"/>
              <w:rPr>
                <w:sz w:val="18"/>
                <w:szCs w:val="18"/>
              </w:rPr>
            </w:pPr>
            <w:r>
              <w:rPr>
                <w:sz w:val="18"/>
                <w:szCs w:val="18"/>
              </w:rPr>
              <w:t>Ек.</w:t>
            </w:r>
          </w:p>
          <w:p w14:paraId="0BA9EE59">
            <w:pPr>
              <w:pStyle w:val="20"/>
              <w:spacing w:after="0" w:line="240" w:lineRule="auto"/>
              <w:ind w:left="0"/>
              <w:rPr>
                <w:sz w:val="18"/>
                <w:szCs w:val="18"/>
              </w:rPr>
            </w:pPr>
            <w:r>
              <w:rPr>
                <w:sz w:val="18"/>
                <w:szCs w:val="18"/>
              </w:rPr>
              <w:t>клас.</w:t>
            </w:r>
          </w:p>
        </w:tc>
        <w:tc>
          <w:tcPr>
            <w:tcW w:w="2975" w:type="dxa"/>
            <w:vMerge w:val="restart"/>
          </w:tcPr>
          <w:p w14:paraId="11297D57">
            <w:pPr>
              <w:pStyle w:val="20"/>
              <w:spacing w:after="0" w:line="240" w:lineRule="auto"/>
              <w:ind w:left="0"/>
              <w:jc w:val="center"/>
              <w:rPr>
                <w:sz w:val="18"/>
                <w:szCs w:val="18"/>
              </w:rPr>
            </w:pPr>
            <w:r>
              <w:rPr>
                <w:sz w:val="18"/>
                <w:szCs w:val="18"/>
              </w:rPr>
              <w:t>Опис</w:t>
            </w:r>
          </w:p>
        </w:tc>
        <w:tc>
          <w:tcPr>
            <w:tcW w:w="4448" w:type="dxa"/>
            <w:gridSpan w:val="3"/>
          </w:tcPr>
          <w:p w14:paraId="7FBA1E23">
            <w:pPr>
              <w:pStyle w:val="20"/>
              <w:spacing w:after="0" w:line="240" w:lineRule="auto"/>
              <w:ind w:left="0"/>
              <w:jc w:val="center"/>
              <w:rPr>
                <w:sz w:val="18"/>
                <w:szCs w:val="18"/>
              </w:rPr>
            </w:pPr>
            <w:r>
              <w:rPr>
                <w:sz w:val="18"/>
                <w:szCs w:val="18"/>
              </w:rPr>
              <w:t>Пројекција за</w:t>
            </w:r>
          </w:p>
        </w:tc>
      </w:tr>
      <w:tr w14:paraId="72433FE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72" w:hRule="atLeast"/>
        </w:trPr>
        <w:tc>
          <w:tcPr>
            <w:tcW w:w="770" w:type="dxa"/>
            <w:vMerge w:val="continue"/>
          </w:tcPr>
          <w:p w14:paraId="369D1BF4">
            <w:pPr>
              <w:pStyle w:val="20"/>
              <w:spacing w:after="0" w:line="240" w:lineRule="auto"/>
              <w:ind w:left="0"/>
              <w:rPr>
                <w:sz w:val="18"/>
                <w:szCs w:val="18"/>
              </w:rPr>
            </w:pPr>
          </w:p>
        </w:tc>
        <w:tc>
          <w:tcPr>
            <w:tcW w:w="2975" w:type="dxa"/>
            <w:vMerge w:val="continue"/>
          </w:tcPr>
          <w:p w14:paraId="44462C84">
            <w:pPr>
              <w:pStyle w:val="20"/>
              <w:spacing w:after="0" w:line="240" w:lineRule="auto"/>
              <w:ind w:left="0"/>
              <w:rPr>
                <w:sz w:val="18"/>
                <w:szCs w:val="18"/>
              </w:rPr>
            </w:pPr>
          </w:p>
        </w:tc>
        <w:tc>
          <w:tcPr>
            <w:tcW w:w="1480" w:type="dxa"/>
          </w:tcPr>
          <w:p w14:paraId="5326ABBA">
            <w:pPr>
              <w:pStyle w:val="20"/>
              <w:spacing w:after="0" w:line="240" w:lineRule="auto"/>
              <w:ind w:left="0"/>
              <w:jc w:val="center"/>
              <w:rPr>
                <w:sz w:val="18"/>
                <w:szCs w:val="18"/>
              </w:rPr>
            </w:pPr>
            <w:r>
              <w:rPr>
                <w:sz w:val="18"/>
                <w:szCs w:val="18"/>
              </w:rPr>
              <w:t>202</w:t>
            </w:r>
            <w:r>
              <w:rPr>
                <w:rFonts w:hint="default"/>
                <w:sz w:val="18"/>
                <w:szCs w:val="18"/>
                <w:lang w:val="en-US"/>
              </w:rPr>
              <w:t>6</w:t>
            </w:r>
            <w:r>
              <w:rPr>
                <w:sz w:val="18"/>
                <w:szCs w:val="18"/>
              </w:rPr>
              <w:t>.</w:t>
            </w:r>
          </w:p>
        </w:tc>
        <w:tc>
          <w:tcPr>
            <w:tcW w:w="2968" w:type="dxa"/>
            <w:gridSpan w:val="2"/>
          </w:tcPr>
          <w:p w14:paraId="0D96EE5E">
            <w:pPr>
              <w:pStyle w:val="20"/>
              <w:spacing w:after="0" w:line="240" w:lineRule="auto"/>
              <w:ind w:left="0"/>
              <w:jc w:val="center"/>
              <w:rPr>
                <w:sz w:val="18"/>
                <w:szCs w:val="18"/>
              </w:rPr>
            </w:pPr>
            <w:r>
              <w:rPr>
                <w:sz w:val="18"/>
                <w:szCs w:val="18"/>
              </w:rPr>
              <w:t>202</w:t>
            </w:r>
            <w:r>
              <w:rPr>
                <w:rFonts w:hint="default"/>
                <w:sz w:val="18"/>
                <w:szCs w:val="18"/>
                <w:lang w:val="en-US"/>
              </w:rPr>
              <w:t>7</w:t>
            </w:r>
            <w:r>
              <w:rPr>
                <w:sz w:val="18"/>
                <w:szCs w:val="18"/>
              </w:rPr>
              <w:t>.                          202</w:t>
            </w:r>
            <w:r>
              <w:rPr>
                <w:rFonts w:hint="default"/>
                <w:sz w:val="18"/>
                <w:szCs w:val="18"/>
                <w:lang w:val="en-US"/>
              </w:rPr>
              <w:t>8</w:t>
            </w:r>
            <w:r>
              <w:rPr>
                <w:sz w:val="18"/>
                <w:szCs w:val="18"/>
              </w:rPr>
              <w:t>.</w:t>
            </w:r>
          </w:p>
        </w:tc>
      </w:tr>
      <w:tr w14:paraId="7FCAEE3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70" w:type="dxa"/>
          </w:tcPr>
          <w:p w14:paraId="18F82E48">
            <w:pPr>
              <w:pStyle w:val="20"/>
              <w:spacing w:after="0" w:line="240" w:lineRule="auto"/>
              <w:ind w:left="0"/>
              <w:rPr>
                <w:sz w:val="18"/>
                <w:szCs w:val="18"/>
              </w:rPr>
            </w:pPr>
            <w:r>
              <w:rPr>
                <w:sz w:val="18"/>
                <w:szCs w:val="18"/>
              </w:rPr>
              <w:t>41</w:t>
            </w:r>
          </w:p>
        </w:tc>
        <w:tc>
          <w:tcPr>
            <w:tcW w:w="2975" w:type="dxa"/>
          </w:tcPr>
          <w:p w14:paraId="04144937">
            <w:pPr>
              <w:pStyle w:val="20"/>
              <w:spacing w:after="0" w:line="240" w:lineRule="auto"/>
              <w:ind w:left="0"/>
              <w:rPr>
                <w:sz w:val="18"/>
                <w:szCs w:val="18"/>
              </w:rPr>
            </w:pPr>
            <w:r>
              <w:rPr>
                <w:sz w:val="18"/>
                <w:szCs w:val="18"/>
              </w:rPr>
              <w:t>Расходи за запослене</w:t>
            </w:r>
          </w:p>
        </w:tc>
        <w:tc>
          <w:tcPr>
            <w:tcW w:w="1480" w:type="dxa"/>
          </w:tcPr>
          <w:p w14:paraId="19497A48">
            <w:pPr>
              <w:pStyle w:val="20"/>
              <w:spacing w:after="0" w:line="240" w:lineRule="auto"/>
              <w:ind w:left="0"/>
              <w:jc w:val="right"/>
              <w:rPr>
                <w:sz w:val="18"/>
                <w:szCs w:val="18"/>
              </w:rPr>
            </w:pPr>
            <w:r>
              <w:rPr>
                <w:rFonts w:hint="default"/>
                <w:sz w:val="18"/>
                <w:szCs w:val="18"/>
                <w:lang w:val="en-US"/>
              </w:rPr>
              <w:t>160</w:t>
            </w:r>
            <w:r>
              <w:rPr>
                <w:sz w:val="18"/>
                <w:szCs w:val="18"/>
                <w:lang w:val="sr-Latn-RS"/>
              </w:rPr>
              <w:t>.000.000</w:t>
            </w:r>
          </w:p>
        </w:tc>
        <w:tc>
          <w:tcPr>
            <w:tcW w:w="1485" w:type="dxa"/>
          </w:tcPr>
          <w:p w14:paraId="32E4D195">
            <w:pPr>
              <w:pStyle w:val="20"/>
              <w:spacing w:after="0" w:line="240" w:lineRule="auto"/>
              <w:ind w:left="0"/>
              <w:jc w:val="right"/>
              <w:rPr>
                <w:sz w:val="18"/>
                <w:szCs w:val="18"/>
              </w:rPr>
            </w:pPr>
            <w:r>
              <w:rPr>
                <w:rFonts w:hint="default"/>
                <w:sz w:val="18"/>
                <w:szCs w:val="18"/>
                <w:lang w:val="en-US"/>
              </w:rPr>
              <w:t>160</w:t>
            </w:r>
            <w:r>
              <w:rPr>
                <w:sz w:val="18"/>
                <w:szCs w:val="18"/>
                <w:lang w:val="sr-Latn-RS"/>
              </w:rPr>
              <w:t>.000.000</w:t>
            </w:r>
          </w:p>
        </w:tc>
        <w:tc>
          <w:tcPr>
            <w:tcW w:w="1483" w:type="dxa"/>
          </w:tcPr>
          <w:p w14:paraId="0F49082A">
            <w:pPr>
              <w:pStyle w:val="20"/>
              <w:spacing w:after="0" w:line="240" w:lineRule="auto"/>
              <w:ind w:left="0"/>
              <w:jc w:val="right"/>
              <w:rPr>
                <w:sz w:val="18"/>
                <w:szCs w:val="18"/>
              </w:rPr>
            </w:pPr>
            <w:r>
              <w:rPr>
                <w:rFonts w:hint="default"/>
                <w:sz w:val="18"/>
                <w:szCs w:val="18"/>
                <w:lang w:val="en-US"/>
              </w:rPr>
              <w:t>160</w:t>
            </w:r>
            <w:r>
              <w:rPr>
                <w:sz w:val="18"/>
                <w:szCs w:val="18"/>
                <w:lang w:val="sr-Latn-RS"/>
              </w:rPr>
              <w:t>.000.000</w:t>
            </w:r>
          </w:p>
        </w:tc>
      </w:tr>
      <w:tr w14:paraId="53250EC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70" w:type="dxa"/>
          </w:tcPr>
          <w:p w14:paraId="2721FF0A">
            <w:pPr>
              <w:pStyle w:val="20"/>
              <w:spacing w:after="0" w:line="240" w:lineRule="auto"/>
              <w:ind w:left="0"/>
              <w:rPr>
                <w:sz w:val="18"/>
                <w:szCs w:val="18"/>
              </w:rPr>
            </w:pPr>
            <w:r>
              <w:rPr>
                <w:sz w:val="18"/>
                <w:szCs w:val="18"/>
              </w:rPr>
              <w:t>42</w:t>
            </w:r>
          </w:p>
        </w:tc>
        <w:tc>
          <w:tcPr>
            <w:tcW w:w="2975" w:type="dxa"/>
          </w:tcPr>
          <w:p w14:paraId="5E41DFB3">
            <w:pPr>
              <w:pStyle w:val="20"/>
              <w:spacing w:after="0" w:line="240" w:lineRule="auto"/>
              <w:ind w:left="0"/>
              <w:rPr>
                <w:sz w:val="18"/>
                <w:szCs w:val="18"/>
              </w:rPr>
            </w:pPr>
            <w:r>
              <w:rPr>
                <w:sz w:val="18"/>
                <w:szCs w:val="18"/>
              </w:rPr>
              <w:t>Коришћење услуга и роба</w:t>
            </w:r>
          </w:p>
        </w:tc>
        <w:tc>
          <w:tcPr>
            <w:tcW w:w="1480" w:type="dxa"/>
          </w:tcPr>
          <w:p w14:paraId="202FB14B">
            <w:pPr>
              <w:pStyle w:val="20"/>
              <w:spacing w:after="0" w:line="240" w:lineRule="auto"/>
              <w:ind w:left="0"/>
              <w:jc w:val="right"/>
              <w:rPr>
                <w:sz w:val="18"/>
                <w:szCs w:val="18"/>
              </w:rPr>
            </w:pPr>
            <w:r>
              <w:rPr>
                <w:rFonts w:hint="default"/>
                <w:sz w:val="18"/>
                <w:szCs w:val="18"/>
                <w:lang w:val="en-US"/>
              </w:rPr>
              <w:t>147</w:t>
            </w:r>
            <w:r>
              <w:rPr>
                <w:sz w:val="18"/>
                <w:szCs w:val="18"/>
              </w:rPr>
              <w:t>.000.000</w:t>
            </w:r>
          </w:p>
        </w:tc>
        <w:tc>
          <w:tcPr>
            <w:tcW w:w="1485" w:type="dxa"/>
          </w:tcPr>
          <w:p w14:paraId="60B146DD">
            <w:pPr>
              <w:pStyle w:val="20"/>
              <w:spacing w:after="0" w:line="240" w:lineRule="auto"/>
              <w:ind w:left="0"/>
              <w:jc w:val="right"/>
              <w:rPr>
                <w:sz w:val="18"/>
                <w:szCs w:val="18"/>
              </w:rPr>
            </w:pPr>
            <w:r>
              <w:rPr>
                <w:sz w:val="18"/>
                <w:szCs w:val="18"/>
              </w:rPr>
              <w:t>1</w:t>
            </w:r>
            <w:r>
              <w:rPr>
                <w:rFonts w:eastAsia="Calibri"/>
                <w:sz w:val="18"/>
                <w:szCs w:val="18"/>
                <w:lang w:val="sr-Latn-RS"/>
              </w:rPr>
              <w:t>4</w:t>
            </w:r>
            <w:r>
              <w:rPr>
                <w:rFonts w:hint="default" w:eastAsia="Calibri"/>
                <w:sz w:val="18"/>
                <w:szCs w:val="18"/>
                <w:lang w:val="en-US"/>
              </w:rPr>
              <w:t>7</w:t>
            </w:r>
            <w:r>
              <w:rPr>
                <w:sz w:val="18"/>
                <w:szCs w:val="18"/>
              </w:rPr>
              <w:t>.000.000</w:t>
            </w:r>
          </w:p>
        </w:tc>
        <w:tc>
          <w:tcPr>
            <w:tcW w:w="1483" w:type="dxa"/>
          </w:tcPr>
          <w:p w14:paraId="0BF8641B">
            <w:pPr>
              <w:pStyle w:val="20"/>
              <w:spacing w:after="0" w:line="240" w:lineRule="auto"/>
              <w:ind w:left="0"/>
              <w:jc w:val="right"/>
              <w:rPr>
                <w:sz w:val="18"/>
                <w:szCs w:val="18"/>
              </w:rPr>
            </w:pPr>
            <w:r>
              <w:rPr>
                <w:sz w:val="18"/>
                <w:szCs w:val="18"/>
              </w:rPr>
              <w:t>1</w:t>
            </w:r>
            <w:r>
              <w:rPr>
                <w:rFonts w:eastAsia="Calibri"/>
                <w:sz w:val="18"/>
                <w:szCs w:val="18"/>
                <w:lang w:val="sr-Latn-RS"/>
              </w:rPr>
              <w:t>4</w:t>
            </w:r>
            <w:r>
              <w:rPr>
                <w:rFonts w:hint="default" w:eastAsia="Calibri"/>
                <w:sz w:val="18"/>
                <w:szCs w:val="18"/>
                <w:lang w:val="en-US"/>
              </w:rPr>
              <w:t>7</w:t>
            </w:r>
            <w:r>
              <w:rPr>
                <w:sz w:val="18"/>
                <w:szCs w:val="18"/>
              </w:rPr>
              <w:t>.000.000</w:t>
            </w:r>
          </w:p>
        </w:tc>
      </w:tr>
      <w:tr w14:paraId="423010F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70" w:type="dxa"/>
          </w:tcPr>
          <w:p w14:paraId="4FB530F3">
            <w:pPr>
              <w:pStyle w:val="20"/>
              <w:spacing w:after="0" w:line="240" w:lineRule="auto"/>
              <w:ind w:left="0"/>
              <w:rPr>
                <w:sz w:val="18"/>
                <w:szCs w:val="18"/>
              </w:rPr>
            </w:pPr>
            <w:r>
              <w:rPr>
                <w:sz w:val="18"/>
                <w:szCs w:val="18"/>
              </w:rPr>
              <w:t>44</w:t>
            </w:r>
          </w:p>
        </w:tc>
        <w:tc>
          <w:tcPr>
            <w:tcW w:w="2975" w:type="dxa"/>
          </w:tcPr>
          <w:p w14:paraId="7523C4BF">
            <w:pPr>
              <w:pStyle w:val="20"/>
              <w:spacing w:after="0" w:line="240" w:lineRule="auto"/>
              <w:ind w:left="0"/>
              <w:rPr>
                <w:sz w:val="18"/>
                <w:szCs w:val="18"/>
              </w:rPr>
            </w:pPr>
            <w:r>
              <w:rPr>
                <w:sz w:val="18"/>
                <w:szCs w:val="18"/>
              </w:rPr>
              <w:t>Отплата камата</w:t>
            </w:r>
          </w:p>
        </w:tc>
        <w:tc>
          <w:tcPr>
            <w:tcW w:w="1480" w:type="dxa"/>
          </w:tcPr>
          <w:p w14:paraId="783FD7DB">
            <w:pPr>
              <w:pStyle w:val="20"/>
              <w:spacing w:after="0" w:line="240" w:lineRule="auto"/>
              <w:ind w:left="0"/>
              <w:jc w:val="right"/>
              <w:rPr>
                <w:sz w:val="18"/>
                <w:szCs w:val="18"/>
              </w:rPr>
            </w:pPr>
            <w:r>
              <w:rPr>
                <w:rFonts w:hint="default"/>
                <w:sz w:val="18"/>
                <w:szCs w:val="18"/>
                <w:lang w:val="en-US"/>
              </w:rPr>
              <w:t>0</w:t>
            </w:r>
          </w:p>
        </w:tc>
        <w:tc>
          <w:tcPr>
            <w:tcW w:w="1485" w:type="dxa"/>
          </w:tcPr>
          <w:p w14:paraId="4448F228">
            <w:pPr>
              <w:pStyle w:val="20"/>
              <w:spacing w:after="0" w:line="240" w:lineRule="auto"/>
              <w:ind w:left="0"/>
              <w:jc w:val="right"/>
              <w:rPr>
                <w:sz w:val="18"/>
                <w:szCs w:val="18"/>
              </w:rPr>
            </w:pPr>
            <w:r>
              <w:rPr>
                <w:rFonts w:hint="default"/>
                <w:sz w:val="18"/>
                <w:szCs w:val="18"/>
                <w:lang w:val="en-US"/>
              </w:rPr>
              <w:t>0</w:t>
            </w:r>
          </w:p>
        </w:tc>
        <w:tc>
          <w:tcPr>
            <w:tcW w:w="1483" w:type="dxa"/>
          </w:tcPr>
          <w:p w14:paraId="3D7EBD47">
            <w:pPr>
              <w:pStyle w:val="20"/>
              <w:spacing w:after="0" w:line="240" w:lineRule="auto"/>
              <w:ind w:left="0"/>
              <w:jc w:val="right"/>
              <w:rPr>
                <w:sz w:val="18"/>
                <w:szCs w:val="18"/>
              </w:rPr>
            </w:pPr>
            <w:r>
              <w:rPr>
                <w:rFonts w:hint="default"/>
                <w:sz w:val="18"/>
                <w:szCs w:val="18"/>
                <w:lang w:val="en-US"/>
              </w:rPr>
              <w:t>0</w:t>
            </w:r>
          </w:p>
        </w:tc>
      </w:tr>
      <w:tr w14:paraId="79AD412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70" w:type="dxa"/>
          </w:tcPr>
          <w:p w14:paraId="49082BE6">
            <w:pPr>
              <w:pStyle w:val="20"/>
              <w:spacing w:after="0" w:line="240" w:lineRule="auto"/>
              <w:ind w:left="0"/>
              <w:rPr>
                <w:sz w:val="18"/>
                <w:szCs w:val="18"/>
              </w:rPr>
            </w:pPr>
            <w:r>
              <w:rPr>
                <w:sz w:val="18"/>
                <w:szCs w:val="18"/>
              </w:rPr>
              <w:t>45</w:t>
            </w:r>
          </w:p>
        </w:tc>
        <w:tc>
          <w:tcPr>
            <w:tcW w:w="2975" w:type="dxa"/>
          </w:tcPr>
          <w:p w14:paraId="5988F1AB">
            <w:pPr>
              <w:pStyle w:val="20"/>
              <w:spacing w:after="0" w:line="240" w:lineRule="auto"/>
              <w:ind w:left="0"/>
              <w:rPr>
                <w:sz w:val="18"/>
                <w:szCs w:val="18"/>
              </w:rPr>
            </w:pPr>
            <w:r>
              <w:rPr>
                <w:sz w:val="18"/>
                <w:szCs w:val="18"/>
              </w:rPr>
              <w:t>Субвенције</w:t>
            </w:r>
          </w:p>
        </w:tc>
        <w:tc>
          <w:tcPr>
            <w:tcW w:w="1480" w:type="dxa"/>
          </w:tcPr>
          <w:p w14:paraId="75AC0229">
            <w:pPr>
              <w:pStyle w:val="20"/>
              <w:spacing w:after="0" w:line="240" w:lineRule="auto"/>
              <w:ind w:left="0"/>
              <w:jc w:val="right"/>
              <w:rPr>
                <w:sz w:val="18"/>
                <w:szCs w:val="18"/>
              </w:rPr>
            </w:pPr>
            <w:r>
              <w:rPr>
                <w:sz w:val="18"/>
                <w:szCs w:val="18"/>
                <w:lang w:val="sr-Latn-RS"/>
              </w:rPr>
              <w:t>18</w:t>
            </w:r>
            <w:r>
              <w:rPr>
                <w:sz w:val="18"/>
                <w:szCs w:val="18"/>
              </w:rPr>
              <w:t>.</w:t>
            </w:r>
            <w:r>
              <w:rPr>
                <w:rFonts w:hint="default"/>
                <w:sz w:val="18"/>
                <w:szCs w:val="18"/>
                <w:lang w:val="en-US"/>
              </w:rPr>
              <w:t>0</w:t>
            </w:r>
            <w:r>
              <w:rPr>
                <w:sz w:val="18"/>
                <w:szCs w:val="18"/>
              </w:rPr>
              <w:t>00.000</w:t>
            </w:r>
          </w:p>
        </w:tc>
        <w:tc>
          <w:tcPr>
            <w:tcW w:w="1485" w:type="dxa"/>
          </w:tcPr>
          <w:p w14:paraId="62DBE550">
            <w:pPr>
              <w:pStyle w:val="20"/>
              <w:spacing w:after="0" w:line="240" w:lineRule="auto"/>
              <w:ind w:left="0"/>
              <w:jc w:val="right"/>
              <w:rPr>
                <w:sz w:val="18"/>
                <w:szCs w:val="18"/>
              </w:rPr>
            </w:pPr>
            <w:r>
              <w:rPr>
                <w:sz w:val="18"/>
                <w:szCs w:val="18"/>
                <w:lang w:val="sr-Latn-RS"/>
              </w:rPr>
              <w:t>18</w:t>
            </w:r>
            <w:r>
              <w:rPr>
                <w:sz w:val="18"/>
                <w:szCs w:val="18"/>
              </w:rPr>
              <w:t>.</w:t>
            </w:r>
            <w:r>
              <w:rPr>
                <w:rFonts w:hint="default"/>
                <w:sz w:val="18"/>
                <w:szCs w:val="18"/>
                <w:lang w:val="en-US"/>
              </w:rPr>
              <w:t>0</w:t>
            </w:r>
            <w:r>
              <w:rPr>
                <w:sz w:val="18"/>
                <w:szCs w:val="18"/>
              </w:rPr>
              <w:t>00.000</w:t>
            </w:r>
          </w:p>
        </w:tc>
        <w:tc>
          <w:tcPr>
            <w:tcW w:w="1483" w:type="dxa"/>
          </w:tcPr>
          <w:p w14:paraId="28F9292C">
            <w:pPr>
              <w:pStyle w:val="20"/>
              <w:spacing w:after="0" w:line="240" w:lineRule="auto"/>
              <w:ind w:left="0"/>
              <w:jc w:val="right"/>
              <w:rPr>
                <w:sz w:val="18"/>
                <w:szCs w:val="18"/>
              </w:rPr>
            </w:pPr>
            <w:r>
              <w:rPr>
                <w:sz w:val="18"/>
                <w:szCs w:val="18"/>
                <w:lang w:val="sr-Latn-RS"/>
              </w:rPr>
              <w:t>18</w:t>
            </w:r>
            <w:r>
              <w:rPr>
                <w:sz w:val="18"/>
                <w:szCs w:val="18"/>
              </w:rPr>
              <w:t>.</w:t>
            </w:r>
            <w:r>
              <w:rPr>
                <w:rFonts w:hint="default"/>
                <w:sz w:val="18"/>
                <w:szCs w:val="18"/>
                <w:lang w:val="en-US"/>
              </w:rPr>
              <w:t>0</w:t>
            </w:r>
            <w:r>
              <w:rPr>
                <w:sz w:val="18"/>
                <w:szCs w:val="18"/>
              </w:rPr>
              <w:t>00.000</w:t>
            </w:r>
          </w:p>
        </w:tc>
      </w:tr>
      <w:tr w14:paraId="381EDD9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70" w:type="dxa"/>
          </w:tcPr>
          <w:p w14:paraId="06A9F3B4">
            <w:pPr>
              <w:pStyle w:val="20"/>
              <w:spacing w:after="0" w:line="240" w:lineRule="auto"/>
              <w:ind w:left="0"/>
              <w:rPr>
                <w:sz w:val="18"/>
                <w:szCs w:val="18"/>
              </w:rPr>
            </w:pPr>
            <w:r>
              <w:rPr>
                <w:sz w:val="18"/>
                <w:szCs w:val="18"/>
              </w:rPr>
              <w:t>46</w:t>
            </w:r>
          </w:p>
        </w:tc>
        <w:tc>
          <w:tcPr>
            <w:tcW w:w="2975" w:type="dxa"/>
          </w:tcPr>
          <w:p w14:paraId="40F6F537">
            <w:pPr>
              <w:pStyle w:val="20"/>
              <w:spacing w:after="0" w:line="240" w:lineRule="auto"/>
              <w:ind w:left="0"/>
              <w:rPr>
                <w:sz w:val="18"/>
                <w:szCs w:val="18"/>
              </w:rPr>
            </w:pPr>
            <w:r>
              <w:rPr>
                <w:sz w:val="18"/>
                <w:szCs w:val="18"/>
              </w:rPr>
              <w:t>Трансфери</w:t>
            </w:r>
          </w:p>
        </w:tc>
        <w:tc>
          <w:tcPr>
            <w:tcW w:w="1480" w:type="dxa"/>
          </w:tcPr>
          <w:p w14:paraId="5D2A1AFE">
            <w:pPr>
              <w:pStyle w:val="20"/>
              <w:spacing w:after="0" w:line="240" w:lineRule="auto"/>
              <w:ind w:left="0"/>
              <w:jc w:val="right"/>
              <w:rPr>
                <w:sz w:val="18"/>
                <w:szCs w:val="18"/>
              </w:rPr>
            </w:pPr>
            <w:r>
              <w:rPr>
                <w:rFonts w:hint="default"/>
                <w:sz w:val="18"/>
                <w:szCs w:val="18"/>
                <w:lang w:val="en-US"/>
              </w:rPr>
              <w:t>57</w:t>
            </w:r>
            <w:r>
              <w:rPr>
                <w:sz w:val="18"/>
                <w:szCs w:val="18"/>
              </w:rPr>
              <w:t>.000.000</w:t>
            </w:r>
          </w:p>
        </w:tc>
        <w:tc>
          <w:tcPr>
            <w:tcW w:w="1485" w:type="dxa"/>
          </w:tcPr>
          <w:p w14:paraId="335A5E36">
            <w:pPr>
              <w:pStyle w:val="20"/>
              <w:spacing w:after="0" w:line="240" w:lineRule="auto"/>
              <w:ind w:left="0"/>
              <w:jc w:val="right"/>
              <w:rPr>
                <w:sz w:val="18"/>
                <w:szCs w:val="18"/>
              </w:rPr>
            </w:pPr>
            <w:r>
              <w:rPr>
                <w:rFonts w:hint="default"/>
                <w:sz w:val="18"/>
                <w:szCs w:val="18"/>
                <w:lang w:val="en-US"/>
              </w:rPr>
              <w:t>57</w:t>
            </w:r>
            <w:r>
              <w:rPr>
                <w:sz w:val="18"/>
                <w:szCs w:val="18"/>
              </w:rPr>
              <w:t>.000.000</w:t>
            </w:r>
          </w:p>
        </w:tc>
        <w:tc>
          <w:tcPr>
            <w:tcW w:w="1483" w:type="dxa"/>
          </w:tcPr>
          <w:p w14:paraId="2CDD1296">
            <w:pPr>
              <w:pStyle w:val="20"/>
              <w:spacing w:after="0" w:line="240" w:lineRule="auto"/>
              <w:ind w:left="0"/>
              <w:jc w:val="right"/>
              <w:rPr>
                <w:sz w:val="18"/>
                <w:szCs w:val="18"/>
              </w:rPr>
            </w:pPr>
            <w:r>
              <w:rPr>
                <w:rFonts w:hint="default"/>
                <w:sz w:val="18"/>
                <w:szCs w:val="18"/>
                <w:lang w:val="en-US"/>
              </w:rPr>
              <w:t>57</w:t>
            </w:r>
            <w:r>
              <w:rPr>
                <w:sz w:val="18"/>
                <w:szCs w:val="18"/>
              </w:rPr>
              <w:t>.000.000</w:t>
            </w:r>
          </w:p>
        </w:tc>
      </w:tr>
      <w:tr w14:paraId="076220C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70" w:type="dxa"/>
          </w:tcPr>
          <w:p w14:paraId="132775D9">
            <w:pPr>
              <w:pStyle w:val="20"/>
              <w:spacing w:after="0" w:line="240" w:lineRule="auto"/>
              <w:ind w:left="0"/>
              <w:rPr>
                <w:sz w:val="18"/>
                <w:szCs w:val="18"/>
              </w:rPr>
            </w:pPr>
            <w:r>
              <w:rPr>
                <w:sz w:val="18"/>
                <w:szCs w:val="18"/>
              </w:rPr>
              <w:t>47</w:t>
            </w:r>
          </w:p>
        </w:tc>
        <w:tc>
          <w:tcPr>
            <w:tcW w:w="2975" w:type="dxa"/>
          </w:tcPr>
          <w:p w14:paraId="6BE0BBB4">
            <w:pPr>
              <w:pStyle w:val="20"/>
              <w:spacing w:after="0" w:line="240" w:lineRule="auto"/>
              <w:ind w:left="0"/>
              <w:rPr>
                <w:sz w:val="18"/>
                <w:szCs w:val="18"/>
              </w:rPr>
            </w:pPr>
            <w:r>
              <w:rPr>
                <w:sz w:val="18"/>
                <w:szCs w:val="18"/>
              </w:rPr>
              <w:t>Социј. заштита из буџета</w:t>
            </w:r>
          </w:p>
        </w:tc>
        <w:tc>
          <w:tcPr>
            <w:tcW w:w="1480" w:type="dxa"/>
          </w:tcPr>
          <w:p w14:paraId="278DD93C">
            <w:pPr>
              <w:pStyle w:val="20"/>
              <w:spacing w:after="0" w:line="240" w:lineRule="auto"/>
              <w:ind w:left="0"/>
              <w:jc w:val="right"/>
              <w:rPr>
                <w:sz w:val="18"/>
                <w:szCs w:val="18"/>
              </w:rPr>
            </w:pPr>
            <w:r>
              <w:rPr>
                <w:rFonts w:hint="default" w:eastAsia="Calibri"/>
                <w:sz w:val="18"/>
                <w:szCs w:val="18"/>
                <w:lang w:val="en-US"/>
              </w:rPr>
              <w:t>5</w:t>
            </w:r>
            <w:r>
              <w:rPr>
                <w:sz w:val="18"/>
                <w:szCs w:val="18"/>
              </w:rPr>
              <w:t>.000.000</w:t>
            </w:r>
          </w:p>
        </w:tc>
        <w:tc>
          <w:tcPr>
            <w:tcW w:w="1485" w:type="dxa"/>
          </w:tcPr>
          <w:p w14:paraId="07D39B8E">
            <w:pPr>
              <w:pStyle w:val="20"/>
              <w:spacing w:after="0" w:line="240" w:lineRule="auto"/>
              <w:ind w:left="0"/>
              <w:jc w:val="right"/>
              <w:rPr>
                <w:sz w:val="18"/>
                <w:szCs w:val="18"/>
              </w:rPr>
            </w:pPr>
            <w:r>
              <w:rPr>
                <w:rFonts w:hint="default"/>
                <w:sz w:val="18"/>
                <w:szCs w:val="18"/>
                <w:lang w:val="en-US"/>
              </w:rPr>
              <w:t>5</w:t>
            </w:r>
            <w:r>
              <w:rPr>
                <w:sz w:val="18"/>
                <w:szCs w:val="18"/>
              </w:rPr>
              <w:t>.000.000</w:t>
            </w:r>
          </w:p>
        </w:tc>
        <w:tc>
          <w:tcPr>
            <w:tcW w:w="1483" w:type="dxa"/>
          </w:tcPr>
          <w:p w14:paraId="5C03585F">
            <w:pPr>
              <w:pStyle w:val="20"/>
              <w:spacing w:after="0" w:line="240" w:lineRule="auto"/>
              <w:ind w:left="0"/>
              <w:jc w:val="right"/>
              <w:rPr>
                <w:sz w:val="18"/>
                <w:szCs w:val="18"/>
              </w:rPr>
            </w:pPr>
            <w:r>
              <w:rPr>
                <w:rFonts w:hint="default" w:eastAsia="Calibri"/>
                <w:sz w:val="18"/>
                <w:szCs w:val="18"/>
                <w:lang w:val="en-US"/>
              </w:rPr>
              <w:t>5</w:t>
            </w:r>
            <w:r>
              <w:rPr>
                <w:sz w:val="18"/>
                <w:szCs w:val="18"/>
              </w:rPr>
              <w:t>.000.000</w:t>
            </w:r>
          </w:p>
        </w:tc>
      </w:tr>
      <w:tr w14:paraId="5F4F08D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70" w:type="dxa"/>
          </w:tcPr>
          <w:p w14:paraId="5A90848D">
            <w:pPr>
              <w:pStyle w:val="20"/>
              <w:spacing w:after="0" w:line="240" w:lineRule="auto"/>
              <w:ind w:left="0"/>
              <w:rPr>
                <w:sz w:val="18"/>
                <w:szCs w:val="18"/>
              </w:rPr>
            </w:pPr>
            <w:r>
              <w:rPr>
                <w:sz w:val="18"/>
                <w:szCs w:val="18"/>
              </w:rPr>
              <w:t>48</w:t>
            </w:r>
          </w:p>
        </w:tc>
        <w:tc>
          <w:tcPr>
            <w:tcW w:w="2975" w:type="dxa"/>
          </w:tcPr>
          <w:p w14:paraId="753A04A3">
            <w:pPr>
              <w:pStyle w:val="20"/>
              <w:spacing w:after="0" w:line="240" w:lineRule="auto"/>
              <w:ind w:left="0"/>
              <w:rPr>
                <w:sz w:val="18"/>
                <w:szCs w:val="18"/>
              </w:rPr>
            </w:pPr>
            <w:r>
              <w:rPr>
                <w:sz w:val="18"/>
                <w:szCs w:val="18"/>
              </w:rPr>
              <w:t>Остали расходи</w:t>
            </w:r>
          </w:p>
        </w:tc>
        <w:tc>
          <w:tcPr>
            <w:tcW w:w="1480" w:type="dxa"/>
          </w:tcPr>
          <w:p w14:paraId="4DD0E53D">
            <w:pPr>
              <w:pStyle w:val="20"/>
              <w:spacing w:after="0" w:line="240" w:lineRule="auto"/>
              <w:ind w:left="0"/>
              <w:jc w:val="right"/>
              <w:rPr>
                <w:sz w:val="18"/>
                <w:szCs w:val="18"/>
              </w:rPr>
            </w:pPr>
            <w:r>
              <w:rPr>
                <w:rFonts w:eastAsia="Calibri"/>
                <w:sz w:val="18"/>
                <w:szCs w:val="18"/>
                <w:lang w:val="sr-Latn-RS"/>
              </w:rPr>
              <w:t>23</w:t>
            </w:r>
            <w:r>
              <w:rPr>
                <w:sz w:val="18"/>
                <w:szCs w:val="18"/>
              </w:rPr>
              <w:t>.</w:t>
            </w:r>
            <w:r>
              <w:rPr>
                <w:rFonts w:hint="default"/>
                <w:sz w:val="18"/>
                <w:szCs w:val="18"/>
                <w:lang w:val="en-US"/>
              </w:rPr>
              <w:t>6</w:t>
            </w:r>
            <w:r>
              <w:rPr>
                <w:sz w:val="18"/>
                <w:szCs w:val="18"/>
              </w:rPr>
              <w:t>00.000</w:t>
            </w:r>
          </w:p>
        </w:tc>
        <w:tc>
          <w:tcPr>
            <w:tcW w:w="1485" w:type="dxa"/>
          </w:tcPr>
          <w:p w14:paraId="61F73118">
            <w:pPr>
              <w:pStyle w:val="20"/>
              <w:spacing w:after="0" w:line="240" w:lineRule="auto"/>
              <w:ind w:left="0"/>
              <w:jc w:val="right"/>
              <w:rPr>
                <w:sz w:val="18"/>
                <w:szCs w:val="18"/>
              </w:rPr>
            </w:pPr>
            <w:r>
              <w:rPr>
                <w:rFonts w:eastAsia="Calibri"/>
                <w:sz w:val="18"/>
                <w:szCs w:val="18"/>
                <w:lang w:val="sr-Latn-RS"/>
              </w:rPr>
              <w:t>23</w:t>
            </w:r>
            <w:r>
              <w:rPr>
                <w:sz w:val="18"/>
                <w:szCs w:val="18"/>
              </w:rPr>
              <w:t>.</w:t>
            </w:r>
            <w:r>
              <w:rPr>
                <w:rFonts w:hint="default"/>
                <w:sz w:val="18"/>
                <w:szCs w:val="18"/>
                <w:lang w:val="en-US"/>
              </w:rPr>
              <w:t>6</w:t>
            </w:r>
            <w:r>
              <w:rPr>
                <w:sz w:val="18"/>
                <w:szCs w:val="18"/>
              </w:rPr>
              <w:t>00.000</w:t>
            </w:r>
          </w:p>
        </w:tc>
        <w:tc>
          <w:tcPr>
            <w:tcW w:w="1483" w:type="dxa"/>
          </w:tcPr>
          <w:p w14:paraId="6323610D">
            <w:pPr>
              <w:pStyle w:val="20"/>
              <w:spacing w:after="0" w:line="240" w:lineRule="auto"/>
              <w:ind w:left="0"/>
              <w:jc w:val="right"/>
              <w:rPr>
                <w:sz w:val="18"/>
                <w:szCs w:val="18"/>
              </w:rPr>
            </w:pPr>
            <w:r>
              <w:rPr>
                <w:rFonts w:eastAsia="Calibri"/>
                <w:sz w:val="18"/>
                <w:szCs w:val="18"/>
                <w:lang w:val="sr-Latn-RS"/>
              </w:rPr>
              <w:t>23</w:t>
            </w:r>
            <w:r>
              <w:rPr>
                <w:sz w:val="18"/>
                <w:szCs w:val="18"/>
              </w:rPr>
              <w:t>.</w:t>
            </w:r>
            <w:r>
              <w:rPr>
                <w:rFonts w:hint="default"/>
                <w:sz w:val="18"/>
                <w:szCs w:val="18"/>
                <w:lang w:val="en-US"/>
              </w:rPr>
              <w:t>6</w:t>
            </w:r>
            <w:r>
              <w:rPr>
                <w:sz w:val="18"/>
                <w:szCs w:val="18"/>
              </w:rPr>
              <w:t>00.000</w:t>
            </w:r>
          </w:p>
        </w:tc>
      </w:tr>
      <w:tr w14:paraId="1EA285C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70" w:type="dxa"/>
          </w:tcPr>
          <w:p w14:paraId="7611EC46">
            <w:pPr>
              <w:pStyle w:val="20"/>
              <w:spacing w:after="0" w:line="240" w:lineRule="auto"/>
              <w:ind w:left="0"/>
              <w:rPr>
                <w:sz w:val="18"/>
                <w:szCs w:val="18"/>
              </w:rPr>
            </w:pPr>
            <w:r>
              <w:rPr>
                <w:sz w:val="18"/>
                <w:szCs w:val="18"/>
              </w:rPr>
              <w:t>5</w:t>
            </w:r>
          </w:p>
        </w:tc>
        <w:tc>
          <w:tcPr>
            <w:tcW w:w="2975" w:type="dxa"/>
          </w:tcPr>
          <w:p w14:paraId="28A23C08">
            <w:pPr>
              <w:pStyle w:val="20"/>
              <w:spacing w:after="0" w:line="240" w:lineRule="auto"/>
              <w:ind w:left="0"/>
              <w:rPr>
                <w:sz w:val="18"/>
                <w:szCs w:val="18"/>
              </w:rPr>
            </w:pPr>
            <w:r>
              <w:rPr>
                <w:sz w:val="18"/>
                <w:szCs w:val="18"/>
              </w:rPr>
              <w:t>Издаци за неф. имовину</w:t>
            </w:r>
          </w:p>
        </w:tc>
        <w:tc>
          <w:tcPr>
            <w:tcW w:w="1480" w:type="dxa"/>
          </w:tcPr>
          <w:p w14:paraId="72E5C975">
            <w:pPr>
              <w:pStyle w:val="20"/>
              <w:spacing w:after="0" w:line="240" w:lineRule="auto"/>
              <w:ind w:left="0"/>
              <w:jc w:val="right"/>
              <w:rPr>
                <w:sz w:val="18"/>
                <w:szCs w:val="18"/>
              </w:rPr>
            </w:pPr>
            <w:r>
              <w:rPr>
                <w:rFonts w:hint="default"/>
                <w:sz w:val="18"/>
                <w:szCs w:val="18"/>
                <w:lang w:val="en-US"/>
              </w:rPr>
              <w:t>16</w:t>
            </w:r>
            <w:r>
              <w:rPr>
                <w:sz w:val="18"/>
                <w:szCs w:val="18"/>
                <w:lang w:val="sr-Latn-RS"/>
              </w:rPr>
              <w:t>.000.000</w:t>
            </w:r>
          </w:p>
        </w:tc>
        <w:tc>
          <w:tcPr>
            <w:tcW w:w="1485" w:type="dxa"/>
          </w:tcPr>
          <w:p w14:paraId="746E8370">
            <w:pPr>
              <w:pStyle w:val="20"/>
              <w:spacing w:after="0" w:line="240" w:lineRule="auto"/>
              <w:ind w:left="0"/>
              <w:jc w:val="right"/>
              <w:rPr>
                <w:sz w:val="18"/>
                <w:szCs w:val="18"/>
              </w:rPr>
            </w:pPr>
            <w:r>
              <w:rPr>
                <w:rFonts w:hint="default"/>
                <w:sz w:val="18"/>
                <w:szCs w:val="18"/>
                <w:lang w:val="en-US"/>
              </w:rPr>
              <w:t>16</w:t>
            </w:r>
            <w:r>
              <w:rPr>
                <w:sz w:val="18"/>
                <w:szCs w:val="18"/>
                <w:lang w:val="sr-Latn-RS"/>
              </w:rPr>
              <w:t>.000.000</w:t>
            </w:r>
          </w:p>
        </w:tc>
        <w:tc>
          <w:tcPr>
            <w:tcW w:w="1483" w:type="dxa"/>
          </w:tcPr>
          <w:p w14:paraId="4EB55C4B">
            <w:pPr>
              <w:pStyle w:val="20"/>
              <w:spacing w:after="0" w:line="240" w:lineRule="auto"/>
              <w:ind w:left="0"/>
              <w:jc w:val="right"/>
              <w:rPr>
                <w:sz w:val="18"/>
                <w:szCs w:val="18"/>
              </w:rPr>
            </w:pPr>
            <w:r>
              <w:rPr>
                <w:rFonts w:hint="default"/>
                <w:sz w:val="18"/>
                <w:szCs w:val="18"/>
                <w:lang w:val="en-US"/>
              </w:rPr>
              <w:t>16</w:t>
            </w:r>
            <w:r>
              <w:rPr>
                <w:sz w:val="18"/>
                <w:szCs w:val="18"/>
                <w:lang w:val="sr-Latn-RS"/>
              </w:rPr>
              <w:t>.000.000</w:t>
            </w:r>
          </w:p>
        </w:tc>
      </w:tr>
      <w:tr w14:paraId="258F9AE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70" w:type="dxa"/>
          </w:tcPr>
          <w:p w14:paraId="5BF33002">
            <w:pPr>
              <w:pStyle w:val="20"/>
              <w:spacing w:after="0" w:line="240" w:lineRule="auto"/>
              <w:ind w:left="0"/>
              <w:rPr>
                <w:sz w:val="18"/>
                <w:szCs w:val="18"/>
              </w:rPr>
            </w:pPr>
            <w:r>
              <w:rPr>
                <w:sz w:val="18"/>
                <w:szCs w:val="18"/>
              </w:rPr>
              <w:t>6</w:t>
            </w:r>
          </w:p>
        </w:tc>
        <w:tc>
          <w:tcPr>
            <w:tcW w:w="2975" w:type="dxa"/>
          </w:tcPr>
          <w:p w14:paraId="1B859B37">
            <w:pPr>
              <w:pStyle w:val="20"/>
              <w:spacing w:after="0" w:line="240" w:lineRule="auto"/>
              <w:ind w:left="0"/>
              <w:rPr>
                <w:sz w:val="18"/>
                <w:szCs w:val="18"/>
              </w:rPr>
            </w:pPr>
            <w:r>
              <w:rPr>
                <w:sz w:val="18"/>
                <w:szCs w:val="18"/>
              </w:rPr>
              <w:t>Отплата дуга</w:t>
            </w:r>
          </w:p>
        </w:tc>
        <w:tc>
          <w:tcPr>
            <w:tcW w:w="1480" w:type="dxa"/>
          </w:tcPr>
          <w:p w14:paraId="6FA04254">
            <w:pPr>
              <w:pStyle w:val="20"/>
              <w:spacing w:after="0" w:line="240" w:lineRule="auto"/>
              <w:ind w:left="0"/>
              <w:jc w:val="right"/>
              <w:rPr>
                <w:sz w:val="18"/>
                <w:szCs w:val="18"/>
              </w:rPr>
            </w:pPr>
            <w:r>
              <w:rPr>
                <w:rFonts w:hint="default"/>
                <w:sz w:val="18"/>
                <w:szCs w:val="18"/>
                <w:lang w:val="en-US"/>
              </w:rPr>
              <w:t>0</w:t>
            </w:r>
          </w:p>
        </w:tc>
        <w:tc>
          <w:tcPr>
            <w:tcW w:w="1485" w:type="dxa"/>
          </w:tcPr>
          <w:p w14:paraId="721D76F1">
            <w:pPr>
              <w:pStyle w:val="20"/>
              <w:spacing w:after="0" w:line="240" w:lineRule="auto"/>
              <w:ind w:left="0"/>
              <w:jc w:val="right"/>
              <w:rPr>
                <w:sz w:val="18"/>
                <w:szCs w:val="18"/>
              </w:rPr>
            </w:pPr>
            <w:r>
              <w:rPr>
                <w:sz w:val="18"/>
                <w:szCs w:val="18"/>
              </w:rPr>
              <w:t>0</w:t>
            </w:r>
          </w:p>
        </w:tc>
        <w:tc>
          <w:tcPr>
            <w:tcW w:w="1483" w:type="dxa"/>
          </w:tcPr>
          <w:p w14:paraId="6F68E113">
            <w:pPr>
              <w:pStyle w:val="20"/>
              <w:spacing w:after="0" w:line="240" w:lineRule="auto"/>
              <w:ind w:left="0"/>
              <w:jc w:val="right"/>
              <w:rPr>
                <w:sz w:val="18"/>
                <w:szCs w:val="18"/>
              </w:rPr>
            </w:pPr>
            <w:r>
              <w:rPr>
                <w:sz w:val="18"/>
                <w:szCs w:val="18"/>
              </w:rPr>
              <w:t>0</w:t>
            </w:r>
          </w:p>
        </w:tc>
      </w:tr>
      <w:tr w14:paraId="7CB5376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70" w:type="dxa"/>
          </w:tcPr>
          <w:p w14:paraId="11365348">
            <w:pPr>
              <w:pStyle w:val="20"/>
              <w:spacing w:after="0" w:line="240" w:lineRule="auto"/>
              <w:ind w:left="0"/>
              <w:rPr>
                <w:sz w:val="18"/>
                <w:szCs w:val="18"/>
              </w:rPr>
            </w:pPr>
          </w:p>
        </w:tc>
        <w:tc>
          <w:tcPr>
            <w:tcW w:w="2975" w:type="dxa"/>
          </w:tcPr>
          <w:p w14:paraId="6C25AFF2">
            <w:pPr>
              <w:pStyle w:val="20"/>
              <w:spacing w:after="0" w:line="240" w:lineRule="auto"/>
              <w:ind w:left="0"/>
              <w:rPr>
                <w:sz w:val="18"/>
                <w:szCs w:val="18"/>
              </w:rPr>
            </w:pPr>
            <w:r>
              <w:rPr>
                <w:sz w:val="18"/>
                <w:szCs w:val="18"/>
              </w:rPr>
              <w:t>Укупни расходи и издаци:</w:t>
            </w:r>
          </w:p>
        </w:tc>
        <w:tc>
          <w:tcPr>
            <w:tcW w:w="1480" w:type="dxa"/>
          </w:tcPr>
          <w:p w14:paraId="7CDBB8FE">
            <w:pPr>
              <w:pStyle w:val="20"/>
              <w:spacing w:after="0" w:line="240" w:lineRule="auto"/>
              <w:ind w:left="0"/>
              <w:jc w:val="right"/>
              <w:rPr>
                <w:sz w:val="18"/>
                <w:szCs w:val="18"/>
              </w:rPr>
            </w:pPr>
            <w:r>
              <w:rPr>
                <w:sz w:val="18"/>
                <w:szCs w:val="18"/>
              </w:rPr>
              <w:t>4</w:t>
            </w:r>
            <w:r>
              <w:rPr>
                <w:rFonts w:hint="default"/>
                <w:sz w:val="18"/>
                <w:szCs w:val="18"/>
                <w:lang w:val="en-US"/>
              </w:rPr>
              <w:t>26</w:t>
            </w:r>
            <w:r>
              <w:rPr>
                <w:sz w:val="18"/>
                <w:szCs w:val="18"/>
              </w:rPr>
              <w:t>.</w:t>
            </w:r>
            <w:r>
              <w:rPr>
                <w:rFonts w:hint="default"/>
                <w:sz w:val="18"/>
                <w:szCs w:val="18"/>
                <w:lang w:val="en-US"/>
              </w:rPr>
              <w:t>6</w:t>
            </w:r>
            <w:r>
              <w:rPr>
                <w:sz w:val="18"/>
                <w:szCs w:val="18"/>
              </w:rPr>
              <w:t>00.000</w:t>
            </w:r>
          </w:p>
        </w:tc>
        <w:tc>
          <w:tcPr>
            <w:tcW w:w="1485" w:type="dxa"/>
          </w:tcPr>
          <w:p w14:paraId="1454DFA3">
            <w:pPr>
              <w:pStyle w:val="20"/>
              <w:spacing w:after="0" w:line="240" w:lineRule="auto"/>
              <w:ind w:left="0"/>
              <w:jc w:val="right"/>
              <w:rPr>
                <w:sz w:val="18"/>
                <w:szCs w:val="18"/>
              </w:rPr>
            </w:pPr>
            <w:r>
              <w:rPr>
                <w:sz w:val="18"/>
                <w:szCs w:val="18"/>
              </w:rPr>
              <w:t>4</w:t>
            </w:r>
            <w:r>
              <w:rPr>
                <w:rFonts w:hint="default"/>
                <w:sz w:val="18"/>
                <w:szCs w:val="18"/>
                <w:lang w:val="en-US"/>
              </w:rPr>
              <w:t>26.600</w:t>
            </w:r>
            <w:r>
              <w:rPr>
                <w:sz w:val="18"/>
                <w:szCs w:val="18"/>
              </w:rPr>
              <w:t>.000</w:t>
            </w:r>
          </w:p>
        </w:tc>
        <w:tc>
          <w:tcPr>
            <w:tcW w:w="1483" w:type="dxa"/>
          </w:tcPr>
          <w:p w14:paraId="17143155">
            <w:pPr>
              <w:pStyle w:val="20"/>
              <w:spacing w:after="0" w:line="240" w:lineRule="auto"/>
              <w:ind w:left="0"/>
              <w:jc w:val="right"/>
              <w:rPr>
                <w:sz w:val="18"/>
                <w:szCs w:val="18"/>
              </w:rPr>
            </w:pPr>
            <w:r>
              <w:rPr>
                <w:sz w:val="18"/>
                <w:szCs w:val="18"/>
              </w:rPr>
              <w:t>4</w:t>
            </w:r>
            <w:r>
              <w:rPr>
                <w:rFonts w:hint="default"/>
                <w:sz w:val="18"/>
                <w:szCs w:val="18"/>
                <w:lang w:val="en-US"/>
              </w:rPr>
              <w:t>26</w:t>
            </w:r>
            <w:r>
              <w:rPr>
                <w:sz w:val="18"/>
                <w:szCs w:val="18"/>
              </w:rPr>
              <w:t>.</w:t>
            </w:r>
            <w:r>
              <w:rPr>
                <w:rFonts w:hint="default"/>
                <w:sz w:val="18"/>
                <w:szCs w:val="18"/>
                <w:lang w:val="en-US"/>
              </w:rPr>
              <w:t>600.</w:t>
            </w:r>
            <w:r>
              <w:rPr>
                <w:sz w:val="18"/>
                <w:szCs w:val="18"/>
              </w:rPr>
              <w:t>000</w:t>
            </w:r>
          </w:p>
        </w:tc>
      </w:tr>
    </w:tbl>
    <w:p w14:paraId="4F1C87F2">
      <w:pPr>
        <w:pStyle w:val="20"/>
        <w:ind w:left="0" w:firstLine="720"/>
      </w:pPr>
    </w:p>
    <w:p w14:paraId="14983B0A">
      <w:pPr>
        <w:pStyle w:val="20"/>
        <w:ind w:left="0" w:firstLine="720"/>
      </w:pPr>
    </w:p>
    <w:p w14:paraId="2F1DA63B">
      <w:pPr>
        <w:pStyle w:val="20"/>
        <w:numPr>
          <w:ilvl w:val="0"/>
          <w:numId w:val="5"/>
        </w:numPr>
        <w:ind w:left="0" w:leftChars="0" w:firstLine="720" w:firstLineChars="0"/>
        <w:rPr>
          <w:b/>
        </w:rPr>
      </w:pPr>
      <w:r>
        <w:rPr>
          <w:b/>
          <w:lang w:val="sr-Cyrl-RS"/>
        </w:rPr>
        <w:t>О</w:t>
      </w:r>
      <w:r>
        <w:rPr>
          <w:b/>
        </w:rPr>
        <w:t>бим средстава које може да садржи предлог финансијског плана корисника средстава буџета општине ћићевац за 202</w:t>
      </w:r>
      <w:r>
        <w:rPr>
          <w:rFonts w:hint="default"/>
          <w:b/>
          <w:lang w:val="en-US"/>
        </w:rPr>
        <w:t>6</w:t>
      </w:r>
      <w:r>
        <w:rPr>
          <w:b/>
        </w:rPr>
        <w:t>. годину са пројекцијама за наредне две фискалне године</w:t>
      </w:r>
    </w:p>
    <w:p w14:paraId="1F7EF6BC">
      <w:pPr>
        <w:pStyle w:val="20"/>
        <w:ind w:left="0" w:firstLine="720"/>
        <w:rPr>
          <w:b/>
        </w:rPr>
      </w:pPr>
    </w:p>
    <w:p w14:paraId="64CC40D8">
      <w:pPr>
        <w:pStyle w:val="20"/>
        <w:ind w:left="0" w:firstLine="720"/>
        <w:jc w:val="both"/>
      </w:pPr>
      <w:r>
        <w:t xml:space="preserve"> Лимити укупних расхода по годинама за трогодишњи период, на неки начин представљају основ за увођење средњорочног оквира расхода који треба да повећају предвидивост јавних финансија за буџетске кориснике и створе одређену препреку за њихову експанзију. </w:t>
      </w:r>
    </w:p>
    <w:p w14:paraId="0AE0814D">
      <w:pPr>
        <w:pStyle w:val="20"/>
        <w:ind w:left="0" w:firstLine="720"/>
        <w:jc w:val="both"/>
      </w:pPr>
      <w:r>
        <w:t>При изради предлога финансијских планова за 202</w:t>
      </w:r>
      <w:r>
        <w:rPr>
          <w:rFonts w:hint="default"/>
          <w:lang w:val="en-US"/>
        </w:rPr>
        <w:t>6</w:t>
      </w:r>
      <w:r>
        <w:t xml:space="preserve">. годину, буџетски корисници треба да планирају расходе и издатке до нивоа утврђеног овим Упутством. </w:t>
      </w:r>
    </w:p>
    <w:p w14:paraId="61CD30DA">
      <w:pPr>
        <w:pStyle w:val="20"/>
        <w:ind w:left="0" w:firstLine="720"/>
        <w:jc w:val="both"/>
      </w:pPr>
      <w:r>
        <w:t>Полазну основу за утврђивање обима средстава у предлозима финансијских планова директних корисника средстава буџета за 202</w:t>
      </w:r>
      <w:r>
        <w:rPr>
          <w:rFonts w:hint="default"/>
          <w:lang w:val="en-US"/>
        </w:rPr>
        <w:t>6</w:t>
      </w:r>
      <w:r>
        <w:t>. годину, чини обим средстава за расходе директних корисника утврђен Одлуком о буџету општине за 202</w:t>
      </w:r>
      <w:r>
        <w:rPr>
          <w:rFonts w:hint="default"/>
          <w:lang w:val="en-US"/>
        </w:rPr>
        <w:t>5</w:t>
      </w:r>
      <w:r>
        <w:t xml:space="preserve">. годину  </w:t>
      </w:r>
      <w:r>
        <w:rPr>
          <w:color w:val="C9211E"/>
        </w:rPr>
        <w:t xml:space="preserve"> </w:t>
      </w:r>
      <w:r>
        <w:t>из извора 01- Приходи из буџета.</w:t>
      </w:r>
    </w:p>
    <w:p w14:paraId="17D7F8C9">
      <w:pPr>
        <w:pStyle w:val="20"/>
        <w:ind w:left="0" w:firstLine="720"/>
        <w:jc w:val="both"/>
      </w:pPr>
      <w:r>
        <w:t xml:space="preserve"> Обим средстава који може да садржи предлог финансијског плана директног корисника средстава буџета за 202</w:t>
      </w:r>
      <w:r>
        <w:rPr>
          <w:rFonts w:hint="default"/>
          <w:lang w:val="en-US"/>
        </w:rPr>
        <w:t>6</w:t>
      </w:r>
      <w:r>
        <w:t>. годину, из извора 01- Приходи из буџета, са пројекцијама за наредне две фискалне године по организационој класификацији утврђен је у следећој табели:</w:t>
      </w:r>
    </w:p>
    <w:p w14:paraId="536FE579">
      <w:pPr>
        <w:pStyle w:val="20"/>
        <w:ind w:left="0" w:firstLine="720"/>
        <w:jc w:val="both"/>
      </w:pPr>
    </w:p>
    <w:p w14:paraId="06C3447A">
      <w:pPr>
        <w:pStyle w:val="20"/>
        <w:ind w:left="0" w:firstLine="720"/>
        <w:jc w:val="both"/>
      </w:pPr>
      <w:r>
        <w:t xml:space="preserve"> Табела: Обим средстава који може да садржи предлог финансијског плана директног корисника средстава буџета општине Ћићевац за 202</w:t>
      </w:r>
      <w:r>
        <w:rPr>
          <w:rFonts w:hint="default"/>
          <w:lang w:val="en-US"/>
        </w:rPr>
        <w:t>6</w:t>
      </w:r>
      <w:r>
        <w:t>. годину, са пројекцијом за 202</w:t>
      </w:r>
      <w:r>
        <w:rPr>
          <w:rFonts w:hint="default"/>
          <w:lang w:val="en-US"/>
        </w:rPr>
        <w:t>7</w:t>
      </w:r>
      <w:r>
        <w:t>. и 202</w:t>
      </w:r>
      <w:r>
        <w:rPr>
          <w:rFonts w:hint="default"/>
          <w:lang w:val="en-US"/>
        </w:rPr>
        <w:t>8</w:t>
      </w:r>
      <w:r>
        <w:t>. годину из извора финансирања 01 - Приходи из буџета</w:t>
      </w:r>
    </w:p>
    <w:p w14:paraId="0C26B6EB">
      <w:pPr>
        <w:pStyle w:val="20"/>
        <w:ind w:left="0" w:firstLine="720"/>
      </w:pPr>
    </w:p>
    <w:tbl>
      <w:tblPr>
        <w:tblStyle w:val="12"/>
        <w:tblW w:w="9576"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958"/>
        <w:gridCol w:w="2869"/>
        <w:gridCol w:w="1919"/>
        <w:gridCol w:w="1914"/>
        <w:gridCol w:w="7"/>
        <w:gridCol w:w="1909"/>
      </w:tblGrid>
      <w:tr w14:paraId="11D4D44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98" w:hRule="atLeast"/>
        </w:trPr>
        <w:tc>
          <w:tcPr>
            <w:tcW w:w="958" w:type="dxa"/>
            <w:vMerge w:val="restart"/>
          </w:tcPr>
          <w:p w14:paraId="44440A7F">
            <w:pPr>
              <w:pStyle w:val="20"/>
              <w:spacing w:after="0" w:line="240" w:lineRule="auto"/>
              <w:ind w:left="0"/>
              <w:rPr>
                <w:sz w:val="18"/>
                <w:szCs w:val="18"/>
              </w:rPr>
            </w:pPr>
            <w:r>
              <w:rPr>
                <w:sz w:val="18"/>
                <w:szCs w:val="18"/>
              </w:rPr>
              <w:t>Раздео</w:t>
            </w:r>
          </w:p>
        </w:tc>
        <w:tc>
          <w:tcPr>
            <w:tcW w:w="2869" w:type="dxa"/>
            <w:vMerge w:val="restart"/>
          </w:tcPr>
          <w:p w14:paraId="01537BAA">
            <w:pPr>
              <w:pStyle w:val="20"/>
              <w:spacing w:after="0" w:line="240" w:lineRule="auto"/>
              <w:ind w:left="0"/>
              <w:jc w:val="center"/>
              <w:rPr>
                <w:sz w:val="18"/>
                <w:szCs w:val="18"/>
              </w:rPr>
            </w:pPr>
            <w:r>
              <w:rPr>
                <w:sz w:val="18"/>
                <w:szCs w:val="18"/>
              </w:rPr>
              <w:t>Опис</w:t>
            </w:r>
          </w:p>
        </w:tc>
        <w:tc>
          <w:tcPr>
            <w:tcW w:w="5749" w:type="dxa"/>
            <w:gridSpan w:val="4"/>
          </w:tcPr>
          <w:p w14:paraId="7ABBCDD8">
            <w:pPr>
              <w:pStyle w:val="20"/>
              <w:spacing w:after="0" w:line="240" w:lineRule="auto"/>
              <w:ind w:left="0"/>
              <w:jc w:val="center"/>
              <w:rPr>
                <w:sz w:val="18"/>
                <w:szCs w:val="18"/>
              </w:rPr>
            </w:pPr>
            <w:r>
              <w:rPr>
                <w:sz w:val="18"/>
                <w:szCs w:val="18"/>
              </w:rPr>
              <w:t>Пројекција за</w:t>
            </w:r>
          </w:p>
        </w:tc>
      </w:tr>
      <w:tr w14:paraId="601250A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34" w:hRule="atLeast"/>
        </w:trPr>
        <w:tc>
          <w:tcPr>
            <w:tcW w:w="958" w:type="dxa"/>
            <w:vMerge w:val="continue"/>
          </w:tcPr>
          <w:p w14:paraId="2CE16484">
            <w:pPr>
              <w:pStyle w:val="20"/>
              <w:spacing w:after="0" w:line="240" w:lineRule="auto"/>
              <w:ind w:left="0"/>
              <w:rPr>
                <w:sz w:val="18"/>
                <w:szCs w:val="18"/>
              </w:rPr>
            </w:pPr>
          </w:p>
        </w:tc>
        <w:tc>
          <w:tcPr>
            <w:tcW w:w="2869" w:type="dxa"/>
            <w:vMerge w:val="continue"/>
          </w:tcPr>
          <w:p w14:paraId="5DD9EDEC">
            <w:pPr>
              <w:pStyle w:val="20"/>
              <w:spacing w:after="0" w:line="240" w:lineRule="auto"/>
              <w:ind w:left="0"/>
              <w:jc w:val="center"/>
              <w:rPr>
                <w:sz w:val="18"/>
                <w:szCs w:val="18"/>
              </w:rPr>
            </w:pPr>
          </w:p>
        </w:tc>
        <w:tc>
          <w:tcPr>
            <w:tcW w:w="1919" w:type="dxa"/>
          </w:tcPr>
          <w:p w14:paraId="0C896C00">
            <w:pPr>
              <w:pStyle w:val="20"/>
              <w:spacing w:after="0" w:line="240" w:lineRule="auto"/>
              <w:ind w:left="0"/>
              <w:jc w:val="center"/>
              <w:rPr>
                <w:sz w:val="18"/>
                <w:szCs w:val="18"/>
              </w:rPr>
            </w:pPr>
            <w:r>
              <w:rPr>
                <w:sz w:val="18"/>
                <w:szCs w:val="18"/>
              </w:rPr>
              <w:t>202</w:t>
            </w:r>
            <w:r>
              <w:rPr>
                <w:rFonts w:hint="default"/>
                <w:sz w:val="18"/>
                <w:szCs w:val="18"/>
                <w:lang w:val="en-US"/>
              </w:rPr>
              <w:t>6</w:t>
            </w:r>
            <w:r>
              <w:rPr>
                <w:sz w:val="18"/>
                <w:szCs w:val="18"/>
              </w:rPr>
              <w:t>.</w:t>
            </w:r>
          </w:p>
        </w:tc>
        <w:tc>
          <w:tcPr>
            <w:tcW w:w="1921" w:type="dxa"/>
            <w:gridSpan w:val="2"/>
          </w:tcPr>
          <w:p w14:paraId="0F00F9BF">
            <w:pPr>
              <w:pStyle w:val="20"/>
              <w:spacing w:after="0" w:line="240" w:lineRule="auto"/>
              <w:ind w:left="0"/>
              <w:jc w:val="center"/>
              <w:rPr>
                <w:sz w:val="18"/>
                <w:szCs w:val="18"/>
              </w:rPr>
            </w:pPr>
            <w:r>
              <w:rPr>
                <w:sz w:val="18"/>
                <w:szCs w:val="18"/>
              </w:rPr>
              <w:t>202</w:t>
            </w:r>
            <w:r>
              <w:rPr>
                <w:rFonts w:hint="default"/>
                <w:sz w:val="18"/>
                <w:szCs w:val="18"/>
                <w:lang w:val="en-US"/>
              </w:rPr>
              <w:t>7</w:t>
            </w:r>
            <w:r>
              <w:rPr>
                <w:sz w:val="18"/>
                <w:szCs w:val="18"/>
              </w:rPr>
              <w:t>.</w:t>
            </w:r>
          </w:p>
        </w:tc>
        <w:tc>
          <w:tcPr>
            <w:tcW w:w="1909" w:type="dxa"/>
          </w:tcPr>
          <w:p w14:paraId="3379BB47">
            <w:pPr>
              <w:pStyle w:val="20"/>
              <w:spacing w:after="0" w:line="240" w:lineRule="auto"/>
              <w:ind w:left="0"/>
              <w:jc w:val="center"/>
              <w:rPr>
                <w:sz w:val="18"/>
                <w:szCs w:val="18"/>
              </w:rPr>
            </w:pPr>
            <w:r>
              <w:rPr>
                <w:sz w:val="18"/>
                <w:szCs w:val="18"/>
              </w:rPr>
              <w:t>202</w:t>
            </w:r>
            <w:r>
              <w:rPr>
                <w:rFonts w:hint="default"/>
                <w:sz w:val="18"/>
                <w:szCs w:val="18"/>
                <w:lang w:val="en-US"/>
              </w:rPr>
              <w:t>8</w:t>
            </w:r>
            <w:r>
              <w:rPr>
                <w:sz w:val="18"/>
                <w:szCs w:val="18"/>
              </w:rPr>
              <w:t>.</w:t>
            </w:r>
          </w:p>
        </w:tc>
      </w:tr>
      <w:tr w14:paraId="38D70A3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8" w:type="dxa"/>
          </w:tcPr>
          <w:p w14:paraId="39AE24C3">
            <w:pPr>
              <w:pStyle w:val="20"/>
              <w:spacing w:after="0" w:line="240" w:lineRule="auto"/>
              <w:ind w:left="0"/>
              <w:rPr>
                <w:sz w:val="18"/>
                <w:szCs w:val="18"/>
              </w:rPr>
            </w:pPr>
            <w:r>
              <w:rPr>
                <w:sz w:val="18"/>
                <w:szCs w:val="18"/>
              </w:rPr>
              <w:t>1.</w:t>
            </w:r>
          </w:p>
        </w:tc>
        <w:tc>
          <w:tcPr>
            <w:tcW w:w="2869" w:type="dxa"/>
          </w:tcPr>
          <w:p w14:paraId="68C528DA">
            <w:pPr>
              <w:pStyle w:val="20"/>
              <w:spacing w:after="0" w:line="240" w:lineRule="auto"/>
              <w:ind w:left="0"/>
              <w:rPr>
                <w:sz w:val="18"/>
                <w:szCs w:val="18"/>
              </w:rPr>
            </w:pPr>
            <w:r>
              <w:rPr>
                <w:sz w:val="18"/>
                <w:szCs w:val="18"/>
              </w:rPr>
              <w:t>Скупштина општине</w:t>
            </w:r>
          </w:p>
        </w:tc>
        <w:tc>
          <w:tcPr>
            <w:tcW w:w="1919" w:type="dxa"/>
          </w:tcPr>
          <w:p w14:paraId="6EBD0F21">
            <w:pPr>
              <w:pStyle w:val="20"/>
              <w:spacing w:after="0" w:line="240" w:lineRule="auto"/>
              <w:ind w:left="0"/>
              <w:jc w:val="right"/>
              <w:rPr>
                <w:sz w:val="18"/>
                <w:szCs w:val="18"/>
              </w:rPr>
            </w:pPr>
            <w:r>
              <w:rPr>
                <w:sz w:val="18"/>
                <w:szCs w:val="18"/>
              </w:rPr>
              <w:t>16.000.000</w:t>
            </w:r>
          </w:p>
        </w:tc>
        <w:tc>
          <w:tcPr>
            <w:tcW w:w="1914" w:type="dxa"/>
          </w:tcPr>
          <w:p w14:paraId="65FA6051">
            <w:pPr>
              <w:pStyle w:val="20"/>
              <w:spacing w:after="0" w:line="240" w:lineRule="auto"/>
              <w:ind w:left="0"/>
              <w:jc w:val="right"/>
              <w:rPr>
                <w:sz w:val="18"/>
                <w:szCs w:val="18"/>
              </w:rPr>
            </w:pPr>
            <w:r>
              <w:rPr>
                <w:sz w:val="18"/>
                <w:szCs w:val="18"/>
              </w:rPr>
              <w:t>16.000.000</w:t>
            </w:r>
          </w:p>
        </w:tc>
        <w:tc>
          <w:tcPr>
            <w:tcW w:w="1916" w:type="dxa"/>
            <w:gridSpan w:val="2"/>
          </w:tcPr>
          <w:p w14:paraId="514E0307">
            <w:pPr>
              <w:pStyle w:val="20"/>
              <w:spacing w:after="0" w:line="240" w:lineRule="auto"/>
              <w:ind w:left="0"/>
              <w:jc w:val="right"/>
              <w:rPr>
                <w:sz w:val="18"/>
                <w:szCs w:val="18"/>
              </w:rPr>
            </w:pPr>
            <w:r>
              <w:rPr>
                <w:sz w:val="18"/>
                <w:szCs w:val="18"/>
              </w:rPr>
              <w:t>16.000.000</w:t>
            </w:r>
          </w:p>
        </w:tc>
      </w:tr>
      <w:tr w14:paraId="5977C13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8" w:type="dxa"/>
          </w:tcPr>
          <w:p w14:paraId="2CAEF429">
            <w:pPr>
              <w:pStyle w:val="20"/>
              <w:spacing w:after="0" w:line="240" w:lineRule="auto"/>
              <w:ind w:left="0"/>
              <w:rPr>
                <w:sz w:val="18"/>
                <w:szCs w:val="18"/>
              </w:rPr>
            </w:pPr>
            <w:r>
              <w:rPr>
                <w:sz w:val="18"/>
                <w:szCs w:val="18"/>
              </w:rPr>
              <w:t>2.</w:t>
            </w:r>
          </w:p>
        </w:tc>
        <w:tc>
          <w:tcPr>
            <w:tcW w:w="2869" w:type="dxa"/>
          </w:tcPr>
          <w:p w14:paraId="4ED9941F">
            <w:pPr>
              <w:pStyle w:val="20"/>
              <w:spacing w:after="0" w:line="240" w:lineRule="auto"/>
              <w:ind w:left="0"/>
              <w:rPr>
                <w:sz w:val="18"/>
                <w:szCs w:val="18"/>
              </w:rPr>
            </w:pPr>
            <w:r>
              <w:rPr>
                <w:sz w:val="18"/>
                <w:szCs w:val="18"/>
              </w:rPr>
              <w:t>Председник општине</w:t>
            </w:r>
          </w:p>
        </w:tc>
        <w:tc>
          <w:tcPr>
            <w:tcW w:w="1919" w:type="dxa"/>
          </w:tcPr>
          <w:p w14:paraId="0C145131">
            <w:pPr>
              <w:pStyle w:val="20"/>
              <w:spacing w:after="0" w:line="240" w:lineRule="auto"/>
              <w:ind w:left="0"/>
              <w:jc w:val="right"/>
              <w:rPr>
                <w:sz w:val="18"/>
                <w:szCs w:val="18"/>
              </w:rPr>
            </w:pPr>
            <w:r>
              <w:rPr>
                <w:sz w:val="18"/>
                <w:szCs w:val="18"/>
              </w:rPr>
              <w:t>8.000.000</w:t>
            </w:r>
          </w:p>
        </w:tc>
        <w:tc>
          <w:tcPr>
            <w:tcW w:w="1914" w:type="dxa"/>
          </w:tcPr>
          <w:p w14:paraId="027B75CF">
            <w:pPr>
              <w:pStyle w:val="20"/>
              <w:spacing w:after="0" w:line="240" w:lineRule="auto"/>
              <w:ind w:left="0"/>
              <w:jc w:val="right"/>
              <w:rPr>
                <w:sz w:val="18"/>
                <w:szCs w:val="18"/>
              </w:rPr>
            </w:pPr>
            <w:r>
              <w:rPr>
                <w:sz w:val="18"/>
                <w:szCs w:val="18"/>
              </w:rPr>
              <w:t>8.000.000</w:t>
            </w:r>
          </w:p>
        </w:tc>
        <w:tc>
          <w:tcPr>
            <w:tcW w:w="1916" w:type="dxa"/>
            <w:gridSpan w:val="2"/>
          </w:tcPr>
          <w:p w14:paraId="556331BB">
            <w:pPr>
              <w:pStyle w:val="20"/>
              <w:spacing w:after="0" w:line="240" w:lineRule="auto"/>
              <w:ind w:left="0"/>
              <w:jc w:val="right"/>
              <w:rPr>
                <w:sz w:val="18"/>
                <w:szCs w:val="18"/>
              </w:rPr>
            </w:pPr>
            <w:r>
              <w:rPr>
                <w:sz w:val="18"/>
                <w:szCs w:val="18"/>
              </w:rPr>
              <w:t>8.000.000</w:t>
            </w:r>
          </w:p>
        </w:tc>
      </w:tr>
      <w:tr w14:paraId="4384EE0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8" w:type="dxa"/>
          </w:tcPr>
          <w:p w14:paraId="623CCD4C">
            <w:pPr>
              <w:pStyle w:val="20"/>
              <w:spacing w:after="0" w:line="240" w:lineRule="auto"/>
              <w:ind w:left="0"/>
              <w:rPr>
                <w:sz w:val="18"/>
                <w:szCs w:val="18"/>
              </w:rPr>
            </w:pPr>
            <w:r>
              <w:rPr>
                <w:sz w:val="18"/>
                <w:szCs w:val="18"/>
              </w:rPr>
              <w:t>3.</w:t>
            </w:r>
          </w:p>
        </w:tc>
        <w:tc>
          <w:tcPr>
            <w:tcW w:w="2869" w:type="dxa"/>
          </w:tcPr>
          <w:p w14:paraId="519CC6C8">
            <w:pPr>
              <w:pStyle w:val="20"/>
              <w:spacing w:after="0" w:line="240" w:lineRule="auto"/>
              <w:ind w:left="0"/>
              <w:rPr>
                <w:sz w:val="18"/>
                <w:szCs w:val="18"/>
              </w:rPr>
            </w:pPr>
            <w:r>
              <w:rPr>
                <w:sz w:val="18"/>
                <w:szCs w:val="18"/>
              </w:rPr>
              <w:t>Општинско веће</w:t>
            </w:r>
          </w:p>
        </w:tc>
        <w:tc>
          <w:tcPr>
            <w:tcW w:w="1919" w:type="dxa"/>
          </w:tcPr>
          <w:p w14:paraId="0682CF43">
            <w:pPr>
              <w:pStyle w:val="20"/>
              <w:spacing w:after="0" w:line="240" w:lineRule="auto"/>
              <w:ind w:left="0"/>
              <w:jc w:val="right"/>
              <w:rPr>
                <w:sz w:val="18"/>
                <w:szCs w:val="18"/>
              </w:rPr>
            </w:pPr>
            <w:r>
              <w:rPr>
                <w:sz w:val="18"/>
                <w:szCs w:val="18"/>
              </w:rPr>
              <w:t>5.000.000</w:t>
            </w:r>
          </w:p>
        </w:tc>
        <w:tc>
          <w:tcPr>
            <w:tcW w:w="1914" w:type="dxa"/>
          </w:tcPr>
          <w:p w14:paraId="6355E054">
            <w:pPr>
              <w:pStyle w:val="20"/>
              <w:spacing w:after="0" w:line="240" w:lineRule="auto"/>
              <w:ind w:left="0"/>
              <w:jc w:val="right"/>
              <w:rPr>
                <w:sz w:val="18"/>
                <w:szCs w:val="18"/>
              </w:rPr>
            </w:pPr>
            <w:r>
              <w:rPr>
                <w:sz w:val="18"/>
                <w:szCs w:val="18"/>
              </w:rPr>
              <w:t>5.000.000</w:t>
            </w:r>
          </w:p>
        </w:tc>
        <w:tc>
          <w:tcPr>
            <w:tcW w:w="1916" w:type="dxa"/>
            <w:gridSpan w:val="2"/>
          </w:tcPr>
          <w:p w14:paraId="708BF00C">
            <w:pPr>
              <w:pStyle w:val="20"/>
              <w:spacing w:after="0" w:line="240" w:lineRule="auto"/>
              <w:ind w:left="0"/>
              <w:jc w:val="right"/>
              <w:rPr>
                <w:sz w:val="18"/>
                <w:szCs w:val="18"/>
              </w:rPr>
            </w:pPr>
            <w:r>
              <w:rPr>
                <w:sz w:val="18"/>
                <w:szCs w:val="18"/>
              </w:rPr>
              <w:t>5.000.000</w:t>
            </w:r>
          </w:p>
        </w:tc>
      </w:tr>
      <w:tr w14:paraId="4A81574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8" w:type="dxa"/>
          </w:tcPr>
          <w:p w14:paraId="5DAC4B26">
            <w:pPr>
              <w:pStyle w:val="20"/>
              <w:spacing w:after="0" w:line="240" w:lineRule="auto"/>
              <w:ind w:left="0"/>
              <w:rPr>
                <w:sz w:val="18"/>
                <w:szCs w:val="18"/>
              </w:rPr>
            </w:pPr>
            <w:r>
              <w:rPr>
                <w:sz w:val="18"/>
                <w:szCs w:val="18"/>
              </w:rPr>
              <w:t>4.</w:t>
            </w:r>
          </w:p>
        </w:tc>
        <w:tc>
          <w:tcPr>
            <w:tcW w:w="2869" w:type="dxa"/>
          </w:tcPr>
          <w:p w14:paraId="35CBCB05">
            <w:pPr>
              <w:pStyle w:val="20"/>
              <w:spacing w:after="0" w:line="240" w:lineRule="auto"/>
              <w:ind w:left="0"/>
              <w:rPr>
                <w:sz w:val="18"/>
                <w:szCs w:val="18"/>
              </w:rPr>
            </w:pPr>
            <w:r>
              <w:rPr>
                <w:sz w:val="18"/>
                <w:szCs w:val="18"/>
              </w:rPr>
              <w:t>Општинско правобранилаштво</w:t>
            </w:r>
          </w:p>
        </w:tc>
        <w:tc>
          <w:tcPr>
            <w:tcW w:w="1919" w:type="dxa"/>
          </w:tcPr>
          <w:p w14:paraId="66384CF7">
            <w:pPr>
              <w:pStyle w:val="20"/>
              <w:spacing w:after="0" w:line="240" w:lineRule="auto"/>
              <w:ind w:left="0"/>
              <w:jc w:val="right"/>
              <w:rPr>
                <w:sz w:val="18"/>
                <w:szCs w:val="18"/>
              </w:rPr>
            </w:pPr>
            <w:r>
              <w:rPr>
                <w:sz w:val="18"/>
                <w:szCs w:val="18"/>
                <w:lang w:val="sr-Latn-RS"/>
              </w:rPr>
              <w:t>4</w:t>
            </w:r>
            <w:r>
              <w:rPr>
                <w:sz w:val="18"/>
                <w:szCs w:val="18"/>
              </w:rPr>
              <w:t>.500.000</w:t>
            </w:r>
          </w:p>
        </w:tc>
        <w:tc>
          <w:tcPr>
            <w:tcW w:w="1914" w:type="dxa"/>
          </w:tcPr>
          <w:p w14:paraId="18ED8AE1">
            <w:pPr>
              <w:pStyle w:val="20"/>
              <w:spacing w:after="0" w:line="240" w:lineRule="auto"/>
              <w:ind w:left="0"/>
              <w:jc w:val="right"/>
              <w:rPr>
                <w:sz w:val="18"/>
                <w:szCs w:val="18"/>
              </w:rPr>
            </w:pPr>
            <w:r>
              <w:rPr>
                <w:sz w:val="18"/>
                <w:szCs w:val="18"/>
                <w:lang w:val="sr-Latn-RS"/>
              </w:rPr>
              <w:t>4</w:t>
            </w:r>
            <w:r>
              <w:rPr>
                <w:sz w:val="18"/>
                <w:szCs w:val="18"/>
              </w:rPr>
              <w:t>.500.000</w:t>
            </w:r>
          </w:p>
        </w:tc>
        <w:tc>
          <w:tcPr>
            <w:tcW w:w="1916" w:type="dxa"/>
            <w:gridSpan w:val="2"/>
          </w:tcPr>
          <w:p w14:paraId="6BF5A9D6">
            <w:pPr>
              <w:pStyle w:val="20"/>
              <w:spacing w:after="0" w:line="240" w:lineRule="auto"/>
              <w:ind w:left="0"/>
              <w:jc w:val="right"/>
              <w:rPr>
                <w:sz w:val="18"/>
                <w:szCs w:val="18"/>
              </w:rPr>
            </w:pPr>
            <w:r>
              <w:rPr>
                <w:sz w:val="18"/>
                <w:szCs w:val="18"/>
                <w:lang w:val="sr-Latn-RS"/>
              </w:rPr>
              <w:t>4</w:t>
            </w:r>
            <w:r>
              <w:rPr>
                <w:sz w:val="18"/>
                <w:szCs w:val="18"/>
              </w:rPr>
              <w:t>.500.000</w:t>
            </w:r>
          </w:p>
        </w:tc>
      </w:tr>
      <w:tr w14:paraId="678CC48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8" w:type="dxa"/>
          </w:tcPr>
          <w:p w14:paraId="5EFD0A4A">
            <w:pPr>
              <w:pStyle w:val="20"/>
              <w:spacing w:after="0" w:line="240" w:lineRule="auto"/>
              <w:ind w:left="0"/>
              <w:rPr>
                <w:sz w:val="18"/>
                <w:szCs w:val="18"/>
              </w:rPr>
            </w:pPr>
            <w:r>
              <w:rPr>
                <w:sz w:val="18"/>
                <w:szCs w:val="18"/>
              </w:rPr>
              <w:t>5.</w:t>
            </w:r>
          </w:p>
        </w:tc>
        <w:tc>
          <w:tcPr>
            <w:tcW w:w="2869" w:type="dxa"/>
          </w:tcPr>
          <w:p w14:paraId="2C80A322">
            <w:pPr>
              <w:pStyle w:val="20"/>
              <w:spacing w:after="0" w:line="240" w:lineRule="auto"/>
              <w:ind w:left="0"/>
              <w:rPr>
                <w:sz w:val="18"/>
                <w:szCs w:val="18"/>
              </w:rPr>
            </w:pPr>
            <w:r>
              <w:rPr>
                <w:sz w:val="18"/>
                <w:szCs w:val="18"/>
              </w:rPr>
              <w:t>Општинска управа</w:t>
            </w:r>
          </w:p>
        </w:tc>
        <w:tc>
          <w:tcPr>
            <w:tcW w:w="1919" w:type="dxa"/>
          </w:tcPr>
          <w:p w14:paraId="5DFF188E">
            <w:pPr>
              <w:pStyle w:val="20"/>
              <w:spacing w:after="0" w:line="240" w:lineRule="auto"/>
              <w:ind w:left="0"/>
              <w:jc w:val="right"/>
              <w:rPr>
                <w:sz w:val="18"/>
                <w:szCs w:val="18"/>
              </w:rPr>
            </w:pPr>
            <w:r>
              <w:rPr>
                <w:rFonts w:hint="default"/>
                <w:sz w:val="18"/>
                <w:szCs w:val="18"/>
                <w:lang w:val="en-US"/>
              </w:rPr>
              <w:t>309.100</w:t>
            </w:r>
            <w:r>
              <w:rPr>
                <w:sz w:val="18"/>
                <w:szCs w:val="18"/>
              </w:rPr>
              <w:t>.000</w:t>
            </w:r>
          </w:p>
        </w:tc>
        <w:tc>
          <w:tcPr>
            <w:tcW w:w="1914" w:type="dxa"/>
          </w:tcPr>
          <w:p w14:paraId="1E5DEB2F">
            <w:pPr>
              <w:pStyle w:val="20"/>
              <w:spacing w:after="0" w:line="240" w:lineRule="auto"/>
              <w:ind w:left="0"/>
              <w:jc w:val="right"/>
              <w:rPr>
                <w:rFonts w:hint="default"/>
                <w:sz w:val="18"/>
                <w:szCs w:val="18"/>
                <w:lang w:val="en-US"/>
              </w:rPr>
            </w:pPr>
            <w:r>
              <w:rPr>
                <w:sz w:val="18"/>
                <w:szCs w:val="18"/>
              </w:rPr>
              <w:t>3</w:t>
            </w:r>
            <w:r>
              <w:rPr>
                <w:rFonts w:hint="default"/>
                <w:sz w:val="18"/>
                <w:szCs w:val="18"/>
                <w:lang w:val="en-US"/>
              </w:rPr>
              <w:t>09.100.000</w:t>
            </w:r>
          </w:p>
        </w:tc>
        <w:tc>
          <w:tcPr>
            <w:tcW w:w="1916" w:type="dxa"/>
            <w:gridSpan w:val="2"/>
          </w:tcPr>
          <w:p w14:paraId="14143D9F">
            <w:pPr>
              <w:pStyle w:val="20"/>
              <w:spacing w:after="0" w:line="240" w:lineRule="auto"/>
              <w:ind w:left="0"/>
              <w:jc w:val="right"/>
              <w:rPr>
                <w:rFonts w:hint="default"/>
                <w:sz w:val="18"/>
                <w:szCs w:val="18"/>
                <w:lang w:val="en-US"/>
              </w:rPr>
            </w:pPr>
            <w:r>
              <w:rPr>
                <w:sz w:val="18"/>
                <w:szCs w:val="18"/>
              </w:rPr>
              <w:t>3</w:t>
            </w:r>
            <w:r>
              <w:rPr>
                <w:rFonts w:hint="default"/>
                <w:sz w:val="18"/>
                <w:szCs w:val="18"/>
                <w:lang w:val="en-US"/>
              </w:rPr>
              <w:t>09.100.000</w:t>
            </w:r>
          </w:p>
        </w:tc>
      </w:tr>
    </w:tbl>
    <w:p w14:paraId="1E5CE2C9">
      <w:pPr>
        <w:pStyle w:val="20"/>
        <w:ind w:left="0"/>
        <w:rPr>
          <w:color w:val="C00000"/>
        </w:rPr>
      </w:pPr>
    </w:p>
    <w:p w14:paraId="6C750E23">
      <w:pPr>
        <w:pStyle w:val="20"/>
        <w:ind w:left="0" w:firstLine="720"/>
      </w:pPr>
    </w:p>
    <w:p w14:paraId="61AC3BBD">
      <w:pPr>
        <w:pStyle w:val="20"/>
        <w:ind w:left="0" w:firstLine="720"/>
        <w:jc w:val="both"/>
      </w:pPr>
      <w:r>
        <w:t xml:space="preserve"> У прилогу овог упутства налази се табела са лимитима средстава за сваког индиректног корисника појединачно. Индиректни буџетски корисник у оквиру тако добијеног лимита расподељује средства на програме, програмске активности и/или пројекте, користећи прописану економску класификацију на четири цифре.</w:t>
      </w:r>
    </w:p>
    <w:p w14:paraId="277CB893">
      <w:pPr>
        <w:pStyle w:val="20"/>
        <w:ind w:left="0" w:firstLine="720"/>
      </w:pPr>
    </w:p>
    <w:tbl>
      <w:tblPr>
        <w:tblStyle w:val="12"/>
        <w:tblW w:w="9576"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958"/>
        <w:gridCol w:w="2869"/>
        <w:gridCol w:w="1919"/>
        <w:gridCol w:w="1914"/>
        <w:gridCol w:w="7"/>
        <w:gridCol w:w="1909"/>
      </w:tblGrid>
      <w:tr w14:paraId="48309BF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98" w:hRule="atLeast"/>
        </w:trPr>
        <w:tc>
          <w:tcPr>
            <w:tcW w:w="958" w:type="dxa"/>
            <w:vMerge w:val="restart"/>
          </w:tcPr>
          <w:p w14:paraId="76C19CFE">
            <w:pPr>
              <w:pStyle w:val="20"/>
              <w:spacing w:after="0" w:line="240" w:lineRule="auto"/>
              <w:ind w:left="0"/>
              <w:rPr>
                <w:sz w:val="18"/>
                <w:szCs w:val="18"/>
              </w:rPr>
            </w:pPr>
            <w:r>
              <w:rPr>
                <w:sz w:val="18"/>
                <w:szCs w:val="18"/>
              </w:rPr>
              <w:t>Раздео</w:t>
            </w:r>
          </w:p>
          <w:p w14:paraId="7CB0A1F3">
            <w:pPr>
              <w:pStyle w:val="20"/>
              <w:spacing w:after="0" w:line="240" w:lineRule="auto"/>
              <w:ind w:left="0"/>
              <w:rPr>
                <w:sz w:val="18"/>
                <w:szCs w:val="18"/>
              </w:rPr>
            </w:pPr>
            <w:r>
              <w:rPr>
                <w:sz w:val="18"/>
                <w:szCs w:val="18"/>
              </w:rPr>
              <w:t>Глава</w:t>
            </w:r>
          </w:p>
        </w:tc>
        <w:tc>
          <w:tcPr>
            <w:tcW w:w="2869" w:type="dxa"/>
            <w:vMerge w:val="restart"/>
          </w:tcPr>
          <w:p w14:paraId="1F41D3DA">
            <w:pPr>
              <w:pStyle w:val="20"/>
              <w:spacing w:after="0" w:line="240" w:lineRule="auto"/>
              <w:ind w:left="0"/>
              <w:jc w:val="center"/>
              <w:rPr>
                <w:sz w:val="18"/>
                <w:szCs w:val="18"/>
              </w:rPr>
            </w:pPr>
            <w:r>
              <w:rPr>
                <w:sz w:val="18"/>
                <w:szCs w:val="18"/>
              </w:rPr>
              <w:t>Опис</w:t>
            </w:r>
          </w:p>
        </w:tc>
        <w:tc>
          <w:tcPr>
            <w:tcW w:w="5749" w:type="dxa"/>
            <w:gridSpan w:val="4"/>
          </w:tcPr>
          <w:p w14:paraId="3B690D50">
            <w:pPr>
              <w:pStyle w:val="20"/>
              <w:spacing w:after="0" w:line="240" w:lineRule="auto"/>
              <w:ind w:left="0"/>
              <w:jc w:val="center"/>
              <w:rPr>
                <w:sz w:val="18"/>
                <w:szCs w:val="18"/>
              </w:rPr>
            </w:pPr>
            <w:r>
              <w:rPr>
                <w:sz w:val="18"/>
                <w:szCs w:val="18"/>
              </w:rPr>
              <w:t>Пројекција за</w:t>
            </w:r>
          </w:p>
        </w:tc>
      </w:tr>
      <w:tr w14:paraId="6C8C9EA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34" w:hRule="atLeast"/>
        </w:trPr>
        <w:tc>
          <w:tcPr>
            <w:tcW w:w="958" w:type="dxa"/>
            <w:vMerge w:val="continue"/>
          </w:tcPr>
          <w:p w14:paraId="0BDC2DC6">
            <w:pPr>
              <w:pStyle w:val="20"/>
              <w:spacing w:after="0" w:line="240" w:lineRule="auto"/>
              <w:ind w:left="0"/>
              <w:rPr>
                <w:sz w:val="18"/>
                <w:szCs w:val="18"/>
              </w:rPr>
            </w:pPr>
          </w:p>
        </w:tc>
        <w:tc>
          <w:tcPr>
            <w:tcW w:w="2869" w:type="dxa"/>
            <w:vMerge w:val="continue"/>
          </w:tcPr>
          <w:p w14:paraId="18D4ACA5">
            <w:pPr>
              <w:pStyle w:val="20"/>
              <w:spacing w:after="0" w:line="240" w:lineRule="auto"/>
              <w:ind w:left="0"/>
              <w:jc w:val="center"/>
              <w:rPr>
                <w:sz w:val="18"/>
                <w:szCs w:val="18"/>
              </w:rPr>
            </w:pPr>
          </w:p>
        </w:tc>
        <w:tc>
          <w:tcPr>
            <w:tcW w:w="1919" w:type="dxa"/>
          </w:tcPr>
          <w:p w14:paraId="31EFF3C2">
            <w:pPr>
              <w:pStyle w:val="20"/>
              <w:spacing w:after="0" w:line="240" w:lineRule="auto"/>
              <w:ind w:left="0"/>
              <w:jc w:val="center"/>
              <w:rPr>
                <w:sz w:val="18"/>
                <w:szCs w:val="18"/>
              </w:rPr>
            </w:pPr>
            <w:r>
              <w:rPr>
                <w:sz w:val="18"/>
                <w:szCs w:val="18"/>
              </w:rPr>
              <w:t>202</w:t>
            </w:r>
            <w:r>
              <w:rPr>
                <w:rFonts w:hint="default"/>
                <w:sz w:val="18"/>
                <w:szCs w:val="18"/>
                <w:lang w:val="en-US"/>
              </w:rPr>
              <w:t>6</w:t>
            </w:r>
            <w:r>
              <w:rPr>
                <w:sz w:val="18"/>
                <w:szCs w:val="18"/>
              </w:rPr>
              <w:t>.</w:t>
            </w:r>
          </w:p>
        </w:tc>
        <w:tc>
          <w:tcPr>
            <w:tcW w:w="1921" w:type="dxa"/>
            <w:gridSpan w:val="2"/>
          </w:tcPr>
          <w:p w14:paraId="5D672DB2">
            <w:pPr>
              <w:pStyle w:val="20"/>
              <w:spacing w:after="0" w:line="240" w:lineRule="auto"/>
              <w:ind w:left="0"/>
              <w:jc w:val="center"/>
              <w:rPr>
                <w:sz w:val="18"/>
                <w:szCs w:val="18"/>
              </w:rPr>
            </w:pPr>
            <w:r>
              <w:rPr>
                <w:sz w:val="18"/>
                <w:szCs w:val="18"/>
              </w:rPr>
              <w:t>202</w:t>
            </w:r>
            <w:r>
              <w:rPr>
                <w:rFonts w:hint="default"/>
                <w:sz w:val="18"/>
                <w:szCs w:val="18"/>
                <w:lang w:val="en-US"/>
              </w:rPr>
              <w:t>7</w:t>
            </w:r>
            <w:r>
              <w:rPr>
                <w:sz w:val="18"/>
                <w:szCs w:val="18"/>
              </w:rPr>
              <w:t>.</w:t>
            </w:r>
          </w:p>
        </w:tc>
        <w:tc>
          <w:tcPr>
            <w:tcW w:w="1909" w:type="dxa"/>
          </w:tcPr>
          <w:p w14:paraId="5A50E5CC">
            <w:pPr>
              <w:pStyle w:val="20"/>
              <w:spacing w:after="0" w:line="240" w:lineRule="auto"/>
              <w:ind w:left="0"/>
              <w:jc w:val="center"/>
              <w:rPr>
                <w:sz w:val="18"/>
                <w:szCs w:val="18"/>
              </w:rPr>
            </w:pPr>
            <w:r>
              <w:rPr>
                <w:sz w:val="18"/>
                <w:szCs w:val="18"/>
              </w:rPr>
              <w:t>202</w:t>
            </w:r>
            <w:r>
              <w:rPr>
                <w:rFonts w:hint="default"/>
                <w:sz w:val="18"/>
                <w:szCs w:val="18"/>
                <w:lang w:val="en-US"/>
              </w:rPr>
              <w:t>8</w:t>
            </w:r>
            <w:r>
              <w:rPr>
                <w:sz w:val="18"/>
                <w:szCs w:val="18"/>
              </w:rPr>
              <w:t>.</w:t>
            </w:r>
          </w:p>
        </w:tc>
      </w:tr>
      <w:tr w14:paraId="48D0E6E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8" w:type="dxa"/>
          </w:tcPr>
          <w:p w14:paraId="69B004F9">
            <w:pPr>
              <w:pStyle w:val="20"/>
              <w:spacing w:after="0" w:line="240" w:lineRule="auto"/>
              <w:ind w:left="0"/>
              <w:rPr>
                <w:sz w:val="18"/>
                <w:szCs w:val="18"/>
              </w:rPr>
            </w:pPr>
            <w:r>
              <w:rPr>
                <w:sz w:val="18"/>
                <w:szCs w:val="18"/>
              </w:rPr>
              <w:t>5.1</w:t>
            </w:r>
          </w:p>
        </w:tc>
        <w:tc>
          <w:tcPr>
            <w:tcW w:w="2869" w:type="dxa"/>
          </w:tcPr>
          <w:p w14:paraId="20BBB23B">
            <w:pPr>
              <w:pStyle w:val="20"/>
              <w:spacing w:after="0" w:line="240" w:lineRule="auto"/>
              <w:ind w:left="0"/>
              <w:rPr>
                <w:sz w:val="18"/>
                <w:szCs w:val="18"/>
              </w:rPr>
            </w:pPr>
            <w:r>
              <w:rPr>
                <w:sz w:val="18"/>
                <w:szCs w:val="18"/>
              </w:rPr>
              <w:t>Народна библиотека</w:t>
            </w:r>
          </w:p>
        </w:tc>
        <w:tc>
          <w:tcPr>
            <w:tcW w:w="1919" w:type="dxa"/>
          </w:tcPr>
          <w:p w14:paraId="5BB138E1">
            <w:pPr>
              <w:pStyle w:val="20"/>
              <w:spacing w:after="0" w:line="240" w:lineRule="auto"/>
              <w:ind w:left="0"/>
              <w:jc w:val="right"/>
              <w:rPr>
                <w:sz w:val="18"/>
                <w:szCs w:val="18"/>
              </w:rPr>
            </w:pPr>
            <w:r>
              <w:rPr>
                <w:sz w:val="18"/>
                <w:szCs w:val="18"/>
                <w:lang w:val="sr-Latn-RS"/>
              </w:rPr>
              <w:t>17.000.000</w:t>
            </w:r>
          </w:p>
        </w:tc>
        <w:tc>
          <w:tcPr>
            <w:tcW w:w="1914" w:type="dxa"/>
            <w:vAlign w:val="top"/>
          </w:tcPr>
          <w:p w14:paraId="38DFF976">
            <w:pPr>
              <w:pStyle w:val="20"/>
              <w:spacing w:after="0" w:line="240" w:lineRule="auto"/>
              <w:ind w:left="0" w:leftChars="0"/>
              <w:jc w:val="right"/>
              <w:rPr>
                <w:sz w:val="18"/>
                <w:szCs w:val="18"/>
              </w:rPr>
            </w:pPr>
            <w:r>
              <w:rPr>
                <w:sz w:val="18"/>
                <w:szCs w:val="18"/>
                <w:lang w:val="sr-Latn-RS"/>
              </w:rPr>
              <w:t>17.000.000</w:t>
            </w:r>
          </w:p>
        </w:tc>
        <w:tc>
          <w:tcPr>
            <w:tcW w:w="1916" w:type="dxa"/>
            <w:gridSpan w:val="2"/>
            <w:vAlign w:val="top"/>
          </w:tcPr>
          <w:p w14:paraId="03720906">
            <w:pPr>
              <w:pStyle w:val="20"/>
              <w:spacing w:after="0" w:line="240" w:lineRule="auto"/>
              <w:ind w:left="0" w:leftChars="0"/>
              <w:jc w:val="right"/>
              <w:rPr>
                <w:sz w:val="18"/>
                <w:szCs w:val="18"/>
              </w:rPr>
            </w:pPr>
            <w:r>
              <w:rPr>
                <w:sz w:val="18"/>
                <w:szCs w:val="18"/>
                <w:lang w:val="sr-Latn-RS"/>
              </w:rPr>
              <w:t>17.000.000</w:t>
            </w:r>
          </w:p>
        </w:tc>
      </w:tr>
      <w:tr w14:paraId="49E0AB6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8" w:type="dxa"/>
          </w:tcPr>
          <w:p w14:paraId="1136D67B">
            <w:pPr>
              <w:pStyle w:val="20"/>
              <w:spacing w:after="0" w:line="240" w:lineRule="auto"/>
              <w:ind w:left="0"/>
              <w:rPr>
                <w:sz w:val="18"/>
                <w:szCs w:val="18"/>
              </w:rPr>
            </w:pPr>
            <w:r>
              <w:rPr>
                <w:sz w:val="18"/>
                <w:szCs w:val="18"/>
              </w:rPr>
              <w:t>5.2</w:t>
            </w:r>
          </w:p>
        </w:tc>
        <w:tc>
          <w:tcPr>
            <w:tcW w:w="2869" w:type="dxa"/>
          </w:tcPr>
          <w:p w14:paraId="7FCEE6C0">
            <w:pPr>
              <w:pStyle w:val="20"/>
              <w:spacing w:after="0" w:line="240" w:lineRule="auto"/>
              <w:ind w:left="0"/>
              <w:rPr>
                <w:sz w:val="18"/>
                <w:szCs w:val="18"/>
              </w:rPr>
            </w:pPr>
            <w:r>
              <w:rPr>
                <w:sz w:val="18"/>
                <w:szCs w:val="18"/>
              </w:rPr>
              <w:t>Спортски центар Ћићевац</w:t>
            </w:r>
          </w:p>
        </w:tc>
        <w:tc>
          <w:tcPr>
            <w:tcW w:w="1919" w:type="dxa"/>
          </w:tcPr>
          <w:p w14:paraId="3F774B30">
            <w:pPr>
              <w:pStyle w:val="20"/>
              <w:spacing w:after="0" w:line="240" w:lineRule="auto"/>
              <w:ind w:left="0"/>
              <w:jc w:val="right"/>
              <w:rPr>
                <w:sz w:val="18"/>
                <w:szCs w:val="18"/>
              </w:rPr>
            </w:pPr>
            <w:r>
              <w:rPr>
                <w:sz w:val="18"/>
                <w:szCs w:val="18"/>
              </w:rPr>
              <w:t>8.000.000</w:t>
            </w:r>
          </w:p>
        </w:tc>
        <w:tc>
          <w:tcPr>
            <w:tcW w:w="1914" w:type="dxa"/>
            <w:vAlign w:val="top"/>
          </w:tcPr>
          <w:p w14:paraId="5E8C3898">
            <w:pPr>
              <w:pStyle w:val="20"/>
              <w:spacing w:after="0" w:line="240" w:lineRule="auto"/>
              <w:ind w:left="0" w:leftChars="0"/>
              <w:jc w:val="right"/>
              <w:rPr>
                <w:sz w:val="18"/>
                <w:szCs w:val="18"/>
              </w:rPr>
            </w:pPr>
            <w:r>
              <w:rPr>
                <w:sz w:val="18"/>
                <w:szCs w:val="18"/>
              </w:rPr>
              <w:t>8.000.000</w:t>
            </w:r>
          </w:p>
        </w:tc>
        <w:tc>
          <w:tcPr>
            <w:tcW w:w="1916" w:type="dxa"/>
            <w:gridSpan w:val="2"/>
            <w:vAlign w:val="top"/>
          </w:tcPr>
          <w:p w14:paraId="4463F5FC">
            <w:pPr>
              <w:pStyle w:val="20"/>
              <w:spacing w:after="0" w:line="240" w:lineRule="auto"/>
              <w:ind w:left="0" w:leftChars="0"/>
              <w:jc w:val="right"/>
              <w:rPr>
                <w:sz w:val="18"/>
                <w:szCs w:val="18"/>
              </w:rPr>
            </w:pPr>
            <w:r>
              <w:rPr>
                <w:sz w:val="18"/>
                <w:szCs w:val="18"/>
              </w:rPr>
              <w:t>8.000.000</w:t>
            </w:r>
          </w:p>
        </w:tc>
      </w:tr>
      <w:tr w14:paraId="38FC8AC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8" w:type="dxa"/>
          </w:tcPr>
          <w:p w14:paraId="4B1D3722">
            <w:pPr>
              <w:pStyle w:val="20"/>
              <w:spacing w:after="0" w:line="240" w:lineRule="auto"/>
              <w:ind w:left="0"/>
              <w:rPr>
                <w:sz w:val="18"/>
                <w:szCs w:val="18"/>
              </w:rPr>
            </w:pPr>
            <w:r>
              <w:rPr>
                <w:sz w:val="18"/>
                <w:szCs w:val="18"/>
              </w:rPr>
              <w:t>5.3</w:t>
            </w:r>
          </w:p>
        </w:tc>
        <w:tc>
          <w:tcPr>
            <w:tcW w:w="2869" w:type="dxa"/>
          </w:tcPr>
          <w:p w14:paraId="3AD8F895">
            <w:pPr>
              <w:pStyle w:val="20"/>
              <w:spacing w:after="0" w:line="240" w:lineRule="auto"/>
              <w:ind w:left="0"/>
              <w:rPr>
                <w:sz w:val="18"/>
                <w:szCs w:val="18"/>
              </w:rPr>
            </w:pPr>
            <w:r>
              <w:rPr>
                <w:sz w:val="18"/>
                <w:szCs w:val="18"/>
              </w:rPr>
              <w:t>Спорски центар Сталаћ-Град Сталаћ</w:t>
            </w:r>
          </w:p>
        </w:tc>
        <w:tc>
          <w:tcPr>
            <w:tcW w:w="1919" w:type="dxa"/>
          </w:tcPr>
          <w:p w14:paraId="30C52ED1">
            <w:pPr>
              <w:pStyle w:val="20"/>
              <w:spacing w:after="0" w:line="240" w:lineRule="auto"/>
              <w:ind w:left="0"/>
              <w:jc w:val="right"/>
              <w:rPr>
                <w:sz w:val="18"/>
                <w:szCs w:val="18"/>
              </w:rPr>
            </w:pPr>
            <w:r>
              <w:rPr>
                <w:sz w:val="18"/>
                <w:szCs w:val="18"/>
                <w:lang w:val="sr-Latn-RS"/>
              </w:rPr>
              <w:t>4</w:t>
            </w:r>
            <w:r>
              <w:rPr>
                <w:sz w:val="18"/>
                <w:szCs w:val="18"/>
              </w:rPr>
              <w:t>.000.000</w:t>
            </w:r>
          </w:p>
        </w:tc>
        <w:tc>
          <w:tcPr>
            <w:tcW w:w="1914" w:type="dxa"/>
            <w:vAlign w:val="top"/>
          </w:tcPr>
          <w:p w14:paraId="17A1D4BB">
            <w:pPr>
              <w:pStyle w:val="20"/>
              <w:spacing w:after="0" w:line="240" w:lineRule="auto"/>
              <w:ind w:left="0" w:leftChars="0"/>
              <w:jc w:val="right"/>
              <w:rPr>
                <w:sz w:val="18"/>
                <w:szCs w:val="18"/>
              </w:rPr>
            </w:pPr>
            <w:r>
              <w:rPr>
                <w:sz w:val="18"/>
                <w:szCs w:val="18"/>
                <w:lang w:val="sr-Latn-RS"/>
              </w:rPr>
              <w:t>4</w:t>
            </w:r>
            <w:r>
              <w:rPr>
                <w:sz w:val="18"/>
                <w:szCs w:val="18"/>
              </w:rPr>
              <w:t>.000.000</w:t>
            </w:r>
          </w:p>
        </w:tc>
        <w:tc>
          <w:tcPr>
            <w:tcW w:w="1916" w:type="dxa"/>
            <w:gridSpan w:val="2"/>
            <w:vAlign w:val="top"/>
          </w:tcPr>
          <w:p w14:paraId="366AC461">
            <w:pPr>
              <w:pStyle w:val="20"/>
              <w:spacing w:after="0" w:line="240" w:lineRule="auto"/>
              <w:ind w:left="0" w:leftChars="0"/>
              <w:jc w:val="right"/>
              <w:rPr>
                <w:sz w:val="18"/>
                <w:szCs w:val="18"/>
              </w:rPr>
            </w:pPr>
            <w:r>
              <w:rPr>
                <w:sz w:val="18"/>
                <w:szCs w:val="18"/>
                <w:lang w:val="sr-Latn-RS"/>
              </w:rPr>
              <w:t>4</w:t>
            </w:r>
            <w:r>
              <w:rPr>
                <w:sz w:val="18"/>
                <w:szCs w:val="18"/>
              </w:rPr>
              <w:t>.000.000</w:t>
            </w:r>
          </w:p>
        </w:tc>
      </w:tr>
      <w:tr w14:paraId="0B56EFD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8" w:type="dxa"/>
          </w:tcPr>
          <w:p w14:paraId="4B654126">
            <w:pPr>
              <w:pStyle w:val="20"/>
              <w:spacing w:after="0" w:line="240" w:lineRule="auto"/>
              <w:ind w:left="0"/>
              <w:rPr>
                <w:sz w:val="18"/>
                <w:szCs w:val="18"/>
              </w:rPr>
            </w:pPr>
            <w:r>
              <w:rPr>
                <w:sz w:val="18"/>
                <w:szCs w:val="18"/>
              </w:rPr>
              <w:t>5.4</w:t>
            </w:r>
          </w:p>
        </w:tc>
        <w:tc>
          <w:tcPr>
            <w:tcW w:w="2869" w:type="dxa"/>
          </w:tcPr>
          <w:p w14:paraId="06811983">
            <w:pPr>
              <w:pStyle w:val="20"/>
              <w:spacing w:after="0" w:line="240" w:lineRule="auto"/>
              <w:ind w:left="0"/>
              <w:rPr>
                <w:sz w:val="18"/>
                <w:szCs w:val="18"/>
              </w:rPr>
            </w:pPr>
            <w:r>
              <w:rPr>
                <w:sz w:val="18"/>
                <w:szCs w:val="18"/>
              </w:rPr>
              <w:t>Предшколска установа</w:t>
            </w:r>
          </w:p>
        </w:tc>
        <w:tc>
          <w:tcPr>
            <w:tcW w:w="1919" w:type="dxa"/>
          </w:tcPr>
          <w:p w14:paraId="21BC6DBD">
            <w:pPr>
              <w:pStyle w:val="20"/>
              <w:spacing w:after="0" w:line="240" w:lineRule="auto"/>
              <w:ind w:left="0"/>
              <w:jc w:val="right"/>
              <w:rPr>
                <w:sz w:val="18"/>
                <w:szCs w:val="18"/>
              </w:rPr>
            </w:pPr>
            <w:r>
              <w:rPr>
                <w:sz w:val="18"/>
                <w:szCs w:val="18"/>
                <w:lang w:val="sr-Latn-RS"/>
              </w:rPr>
              <w:t>5</w:t>
            </w:r>
            <w:r>
              <w:rPr>
                <w:rFonts w:hint="default"/>
                <w:sz w:val="18"/>
                <w:szCs w:val="18"/>
                <w:lang w:val="en-US"/>
              </w:rPr>
              <w:t>3</w:t>
            </w:r>
            <w:r>
              <w:rPr>
                <w:sz w:val="18"/>
                <w:szCs w:val="18"/>
              </w:rPr>
              <w:t>.000.000</w:t>
            </w:r>
          </w:p>
        </w:tc>
        <w:tc>
          <w:tcPr>
            <w:tcW w:w="1914" w:type="dxa"/>
            <w:vAlign w:val="top"/>
          </w:tcPr>
          <w:p w14:paraId="54CAB982">
            <w:pPr>
              <w:pStyle w:val="20"/>
              <w:spacing w:after="0" w:line="240" w:lineRule="auto"/>
              <w:ind w:left="0" w:leftChars="0"/>
              <w:jc w:val="right"/>
              <w:rPr>
                <w:sz w:val="18"/>
                <w:szCs w:val="18"/>
              </w:rPr>
            </w:pPr>
            <w:r>
              <w:rPr>
                <w:sz w:val="18"/>
                <w:szCs w:val="18"/>
                <w:lang w:val="sr-Latn-RS"/>
              </w:rPr>
              <w:t>5</w:t>
            </w:r>
            <w:r>
              <w:rPr>
                <w:rFonts w:hint="default"/>
                <w:sz w:val="18"/>
                <w:szCs w:val="18"/>
                <w:lang w:val="en-US"/>
              </w:rPr>
              <w:t>3</w:t>
            </w:r>
            <w:r>
              <w:rPr>
                <w:sz w:val="18"/>
                <w:szCs w:val="18"/>
              </w:rPr>
              <w:t>.000.000</w:t>
            </w:r>
          </w:p>
        </w:tc>
        <w:tc>
          <w:tcPr>
            <w:tcW w:w="1916" w:type="dxa"/>
            <w:gridSpan w:val="2"/>
            <w:vAlign w:val="top"/>
          </w:tcPr>
          <w:p w14:paraId="003BA5DE">
            <w:pPr>
              <w:pStyle w:val="20"/>
              <w:spacing w:after="0" w:line="240" w:lineRule="auto"/>
              <w:ind w:left="0" w:leftChars="0"/>
              <w:jc w:val="right"/>
              <w:rPr>
                <w:sz w:val="18"/>
                <w:szCs w:val="18"/>
              </w:rPr>
            </w:pPr>
            <w:r>
              <w:rPr>
                <w:sz w:val="18"/>
                <w:szCs w:val="18"/>
                <w:lang w:val="sr-Latn-RS"/>
              </w:rPr>
              <w:t>5</w:t>
            </w:r>
            <w:r>
              <w:rPr>
                <w:rFonts w:hint="default"/>
                <w:sz w:val="18"/>
                <w:szCs w:val="18"/>
                <w:lang w:val="en-US"/>
              </w:rPr>
              <w:t>3</w:t>
            </w:r>
            <w:r>
              <w:rPr>
                <w:sz w:val="18"/>
                <w:szCs w:val="18"/>
              </w:rPr>
              <w:t>.000.000</w:t>
            </w:r>
          </w:p>
        </w:tc>
      </w:tr>
      <w:tr w14:paraId="66FF852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8" w:type="dxa"/>
          </w:tcPr>
          <w:p w14:paraId="213CF6A9">
            <w:pPr>
              <w:pStyle w:val="20"/>
              <w:spacing w:after="0" w:line="240" w:lineRule="auto"/>
              <w:ind w:left="0"/>
              <w:rPr>
                <w:sz w:val="18"/>
                <w:szCs w:val="18"/>
              </w:rPr>
            </w:pPr>
            <w:r>
              <w:rPr>
                <w:sz w:val="18"/>
                <w:szCs w:val="18"/>
              </w:rPr>
              <w:t>5.5</w:t>
            </w:r>
          </w:p>
        </w:tc>
        <w:tc>
          <w:tcPr>
            <w:tcW w:w="2869" w:type="dxa"/>
          </w:tcPr>
          <w:p w14:paraId="3ACF7F89">
            <w:pPr>
              <w:pStyle w:val="20"/>
              <w:spacing w:after="0" w:line="240" w:lineRule="auto"/>
              <w:ind w:left="0"/>
              <w:rPr>
                <w:sz w:val="18"/>
                <w:szCs w:val="18"/>
              </w:rPr>
            </w:pPr>
            <w:r>
              <w:rPr>
                <w:sz w:val="18"/>
                <w:szCs w:val="18"/>
              </w:rPr>
              <w:t>Месне заједнице</w:t>
            </w:r>
          </w:p>
        </w:tc>
        <w:tc>
          <w:tcPr>
            <w:tcW w:w="1919" w:type="dxa"/>
          </w:tcPr>
          <w:p w14:paraId="455C86AB">
            <w:pPr>
              <w:pStyle w:val="20"/>
              <w:spacing w:after="0" w:line="240" w:lineRule="auto"/>
              <w:ind w:left="0"/>
              <w:jc w:val="right"/>
              <w:rPr>
                <w:sz w:val="18"/>
                <w:szCs w:val="18"/>
              </w:rPr>
            </w:pPr>
            <w:r>
              <w:rPr>
                <w:sz w:val="18"/>
                <w:szCs w:val="18"/>
              </w:rPr>
              <w:t>2.</w:t>
            </w:r>
            <w:r>
              <w:rPr>
                <w:rFonts w:hint="default"/>
                <w:sz w:val="18"/>
                <w:szCs w:val="18"/>
                <w:lang w:val="en-US"/>
              </w:rPr>
              <w:t>0</w:t>
            </w:r>
            <w:r>
              <w:rPr>
                <w:sz w:val="18"/>
                <w:szCs w:val="18"/>
              </w:rPr>
              <w:t>00.000</w:t>
            </w:r>
          </w:p>
        </w:tc>
        <w:tc>
          <w:tcPr>
            <w:tcW w:w="1914" w:type="dxa"/>
            <w:vAlign w:val="top"/>
          </w:tcPr>
          <w:p w14:paraId="09A732D4">
            <w:pPr>
              <w:pStyle w:val="20"/>
              <w:spacing w:after="0" w:line="240" w:lineRule="auto"/>
              <w:ind w:left="0" w:leftChars="0"/>
              <w:jc w:val="right"/>
              <w:rPr>
                <w:sz w:val="18"/>
                <w:szCs w:val="18"/>
              </w:rPr>
            </w:pPr>
            <w:r>
              <w:rPr>
                <w:sz w:val="18"/>
                <w:szCs w:val="18"/>
              </w:rPr>
              <w:t>2.</w:t>
            </w:r>
            <w:r>
              <w:rPr>
                <w:rFonts w:hint="default"/>
                <w:sz w:val="18"/>
                <w:szCs w:val="18"/>
                <w:lang w:val="en-US"/>
              </w:rPr>
              <w:t>0</w:t>
            </w:r>
            <w:r>
              <w:rPr>
                <w:sz w:val="18"/>
                <w:szCs w:val="18"/>
              </w:rPr>
              <w:t>00.000</w:t>
            </w:r>
          </w:p>
        </w:tc>
        <w:tc>
          <w:tcPr>
            <w:tcW w:w="1916" w:type="dxa"/>
            <w:gridSpan w:val="2"/>
            <w:vAlign w:val="top"/>
          </w:tcPr>
          <w:p w14:paraId="6E55A749">
            <w:pPr>
              <w:pStyle w:val="20"/>
              <w:spacing w:after="0" w:line="240" w:lineRule="auto"/>
              <w:ind w:left="0" w:leftChars="0"/>
              <w:jc w:val="right"/>
              <w:rPr>
                <w:sz w:val="18"/>
                <w:szCs w:val="18"/>
              </w:rPr>
            </w:pPr>
            <w:r>
              <w:rPr>
                <w:sz w:val="18"/>
                <w:szCs w:val="18"/>
              </w:rPr>
              <w:t>2.</w:t>
            </w:r>
            <w:r>
              <w:rPr>
                <w:rFonts w:hint="default"/>
                <w:sz w:val="18"/>
                <w:szCs w:val="18"/>
                <w:lang w:val="en-US"/>
              </w:rPr>
              <w:t>0</w:t>
            </w:r>
            <w:r>
              <w:rPr>
                <w:sz w:val="18"/>
                <w:szCs w:val="18"/>
              </w:rPr>
              <w:t>00.000</w:t>
            </w:r>
          </w:p>
        </w:tc>
      </w:tr>
      <w:tr w14:paraId="1C6BC51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8" w:type="dxa"/>
          </w:tcPr>
          <w:p w14:paraId="73A4A0F4">
            <w:pPr>
              <w:pStyle w:val="20"/>
              <w:spacing w:after="0" w:line="240" w:lineRule="auto"/>
              <w:ind w:left="0"/>
              <w:rPr>
                <w:sz w:val="18"/>
                <w:szCs w:val="18"/>
              </w:rPr>
            </w:pPr>
          </w:p>
        </w:tc>
        <w:tc>
          <w:tcPr>
            <w:tcW w:w="2869" w:type="dxa"/>
          </w:tcPr>
          <w:p w14:paraId="0DBFA4C8">
            <w:pPr>
              <w:pStyle w:val="20"/>
              <w:spacing w:after="0" w:line="240" w:lineRule="auto"/>
              <w:ind w:left="0"/>
              <w:rPr>
                <w:sz w:val="18"/>
                <w:szCs w:val="18"/>
              </w:rPr>
            </w:pPr>
            <w:r>
              <w:rPr>
                <w:sz w:val="18"/>
                <w:szCs w:val="18"/>
              </w:rPr>
              <w:t>Укупно за директне и индиректне кориснике</w:t>
            </w:r>
          </w:p>
        </w:tc>
        <w:tc>
          <w:tcPr>
            <w:tcW w:w="1919" w:type="dxa"/>
          </w:tcPr>
          <w:p w14:paraId="0C21551E">
            <w:pPr>
              <w:pStyle w:val="20"/>
              <w:spacing w:after="0" w:line="240" w:lineRule="auto"/>
              <w:ind w:left="0"/>
              <w:jc w:val="right"/>
              <w:rPr>
                <w:rFonts w:hint="default"/>
                <w:sz w:val="18"/>
                <w:szCs w:val="18"/>
                <w:lang w:val="en-US"/>
              </w:rPr>
            </w:pPr>
            <w:r>
              <w:rPr>
                <w:rFonts w:hint="default"/>
                <w:b/>
                <w:bCs/>
                <w:sz w:val="18"/>
                <w:szCs w:val="18"/>
                <w:lang w:val="en-US"/>
              </w:rPr>
              <w:t>426.600.000</w:t>
            </w:r>
          </w:p>
        </w:tc>
        <w:tc>
          <w:tcPr>
            <w:tcW w:w="1914" w:type="dxa"/>
            <w:vAlign w:val="top"/>
          </w:tcPr>
          <w:p w14:paraId="75CB05CF">
            <w:pPr>
              <w:pStyle w:val="20"/>
              <w:spacing w:after="0" w:line="240" w:lineRule="auto"/>
              <w:ind w:left="0" w:leftChars="0"/>
              <w:jc w:val="right"/>
              <w:rPr>
                <w:sz w:val="18"/>
                <w:szCs w:val="18"/>
              </w:rPr>
            </w:pPr>
            <w:r>
              <w:rPr>
                <w:rFonts w:hint="default"/>
                <w:b/>
                <w:bCs/>
                <w:sz w:val="18"/>
                <w:szCs w:val="18"/>
                <w:lang w:val="en-US"/>
              </w:rPr>
              <w:t>426.600.000</w:t>
            </w:r>
          </w:p>
        </w:tc>
        <w:tc>
          <w:tcPr>
            <w:tcW w:w="1916" w:type="dxa"/>
            <w:gridSpan w:val="2"/>
            <w:vAlign w:val="top"/>
          </w:tcPr>
          <w:p w14:paraId="08AAD2F5">
            <w:pPr>
              <w:pStyle w:val="20"/>
              <w:spacing w:after="0" w:line="240" w:lineRule="auto"/>
              <w:ind w:left="0" w:leftChars="0"/>
              <w:jc w:val="right"/>
              <w:rPr>
                <w:sz w:val="18"/>
                <w:szCs w:val="18"/>
              </w:rPr>
            </w:pPr>
            <w:r>
              <w:rPr>
                <w:rFonts w:hint="default"/>
                <w:b/>
                <w:bCs/>
                <w:sz w:val="18"/>
                <w:szCs w:val="18"/>
                <w:lang w:val="en-US"/>
              </w:rPr>
              <w:t>426.600.000</w:t>
            </w:r>
          </w:p>
        </w:tc>
      </w:tr>
    </w:tbl>
    <w:p w14:paraId="1B7AB304">
      <w:pPr>
        <w:pStyle w:val="20"/>
        <w:ind w:left="0" w:firstLine="720"/>
      </w:pPr>
    </w:p>
    <w:p w14:paraId="5A78E42D">
      <w:pPr>
        <w:pStyle w:val="20"/>
        <w:ind w:left="0" w:firstLine="720"/>
      </w:pPr>
    </w:p>
    <w:p w14:paraId="6AD66717">
      <w:pPr>
        <w:pStyle w:val="20"/>
        <w:ind w:left="0" w:firstLine="720"/>
        <w:jc w:val="both"/>
      </w:pPr>
      <w:r>
        <w:t xml:space="preserve"> Индиректни буџетски корисник може доставити и захтев за додатна средства, при чему наводи програм, програмску активност или пројекат, и детаљно га образлаже директном кориснику у допису уз предлог финансијског плана. </w:t>
      </w:r>
    </w:p>
    <w:p w14:paraId="3E3DC7E7">
      <w:pPr>
        <w:pStyle w:val="20"/>
        <w:ind w:left="0" w:firstLine="720"/>
      </w:pPr>
    </w:p>
    <w:p w14:paraId="632ACE25">
      <w:pPr>
        <w:pStyle w:val="20"/>
        <w:numPr>
          <w:ilvl w:val="0"/>
          <w:numId w:val="5"/>
        </w:numPr>
        <w:ind w:left="0" w:leftChars="0" w:firstLine="720" w:firstLineChars="0"/>
        <w:rPr>
          <w:b/>
        </w:rPr>
      </w:pPr>
      <w:r>
        <w:rPr>
          <w:b/>
          <w:lang w:val="sr-Cyrl-RS"/>
        </w:rPr>
        <w:t>С</w:t>
      </w:r>
      <w:r>
        <w:rPr>
          <w:b/>
        </w:rPr>
        <w:t>мернице за припрему средњорочних планова</w:t>
      </w:r>
    </w:p>
    <w:p w14:paraId="7C334A7D">
      <w:pPr>
        <w:pStyle w:val="20"/>
        <w:ind w:left="0" w:firstLine="720"/>
        <w:rPr>
          <w:b/>
        </w:rPr>
      </w:pPr>
    </w:p>
    <w:p w14:paraId="56BD9093">
      <w:pPr>
        <w:pStyle w:val="20"/>
        <w:ind w:left="0" w:firstLine="720"/>
        <w:jc w:val="both"/>
      </w:pPr>
      <w:r>
        <w:t xml:space="preserve"> Према дефиницијама Закона о буџетском систему, средњорочни план је свеобухватни план буџетског корисника који садржи детаљну разраду програма, пројеката и програмских активности за буџетску годину са пројекцијама за наредне две године, према средњорочним циљевима и приоритетима, који служе као основа за израду образложења финансијског плана тог корисника и израђује се у складу са упутством за припрему буџета. Програмска структура корисника буџетских средстава, дефинише индикаторе остварења циљева за трогодишњи период, и на тај начин интегрише средњорочне циљеве који су дефинисани стратешким и другим планским документима из надлежности буџетског корисника. </w:t>
      </w:r>
    </w:p>
    <w:p w14:paraId="41603849">
      <w:pPr>
        <w:pStyle w:val="20"/>
        <w:ind w:left="0" w:firstLine="720"/>
        <w:jc w:val="both"/>
      </w:pPr>
      <w:r>
        <w:t xml:space="preserve">Основна смерница за средњорочно утврђивање циљева који се имплементирају кроз програмски модел буџета дефинисањем трогодишњих мерљивих индикатора, налаже крајње опрезан, приступ, руковођен детаљним анализама и пројекцијама које се морају заснивати и на пажљивом  сагледавању и дефинисању ризика, а како би обавезе које преузимају буџетски корисници биле преузете уз највиши степен фискалне одговорности. </w:t>
      </w:r>
    </w:p>
    <w:p w14:paraId="235C1D0A">
      <w:pPr>
        <w:pStyle w:val="20"/>
        <w:ind w:left="0" w:firstLine="720"/>
      </w:pPr>
    </w:p>
    <w:p w14:paraId="1FD2DE47">
      <w:pPr>
        <w:pStyle w:val="20"/>
        <w:ind w:left="0" w:firstLine="720"/>
      </w:pPr>
    </w:p>
    <w:p w14:paraId="77A614DE">
      <w:pPr>
        <w:pStyle w:val="20"/>
        <w:numPr>
          <w:ilvl w:val="0"/>
          <w:numId w:val="5"/>
        </w:numPr>
        <w:ind w:left="0" w:leftChars="0" w:firstLine="720" w:firstLineChars="0"/>
        <w:rPr>
          <w:b/>
        </w:rPr>
      </w:pPr>
      <w:r>
        <w:rPr>
          <w:b/>
          <w:lang w:val="sr-Cyrl-RS"/>
        </w:rPr>
        <w:t>П</w:t>
      </w:r>
      <w:r>
        <w:rPr>
          <w:b/>
        </w:rPr>
        <w:t xml:space="preserve">оступак и динамика припреме буџета општине </w:t>
      </w:r>
      <w:r>
        <w:rPr>
          <w:b/>
          <w:lang w:val="sr-Cyrl-RS"/>
        </w:rPr>
        <w:t>Ћ</w:t>
      </w:r>
      <w:r>
        <w:rPr>
          <w:b/>
        </w:rPr>
        <w:t xml:space="preserve">ићевац и предлога финансијских планова корисника средстава буџета општине </w:t>
      </w:r>
      <w:r>
        <w:rPr>
          <w:b/>
          <w:lang w:val="sr-Cyrl-RS"/>
        </w:rPr>
        <w:t>Ћ</w:t>
      </w:r>
      <w:r>
        <w:rPr>
          <w:b/>
        </w:rPr>
        <w:t>ићевац</w:t>
      </w:r>
    </w:p>
    <w:p w14:paraId="397B8900">
      <w:pPr>
        <w:pStyle w:val="20"/>
        <w:ind w:left="0" w:firstLine="720"/>
      </w:pPr>
    </w:p>
    <w:p w14:paraId="5343A4AF">
      <w:pPr>
        <w:pStyle w:val="20"/>
        <w:ind w:left="0" w:firstLine="720"/>
        <w:jc w:val="both"/>
      </w:pPr>
      <w:r>
        <w:t xml:space="preserve"> У складу са чланом 40. Закона о буџетском систему, локални орган управе надлежан за финансије доставља директним корисницима средстава буџета локалне власти упутство за припрему буџета локалне власти.</w:t>
      </w:r>
    </w:p>
    <w:p w14:paraId="6511A5B0">
      <w:pPr>
        <w:pStyle w:val="20"/>
        <w:ind w:left="0" w:firstLine="720"/>
        <w:jc w:val="both"/>
      </w:pPr>
      <w:r>
        <w:t xml:space="preserve"> На основу упутства за припрему буџета, корисници буџетских средстава припремају предлог финансијског плана по програмском моделу. </w:t>
      </w:r>
    </w:p>
    <w:p w14:paraId="710E4227">
      <w:pPr>
        <w:pStyle w:val="20"/>
        <w:ind w:left="0" w:firstLine="720"/>
        <w:jc w:val="both"/>
      </w:pPr>
      <w:r>
        <w:t>Предлог финансиског плана буџетског корисника треба да садржи детаљну разраду свих програма, програмских активности и пројеката за наредну годину, са пројекцијама за наредне две године и то у складу са средњорочним циљевима и приоритетима који су утврђени Стратегијом одрживог развоја општине Ћићевац.</w:t>
      </w:r>
    </w:p>
    <w:p w14:paraId="4B0CBD9D">
      <w:pPr>
        <w:pStyle w:val="20"/>
        <w:ind w:left="0" w:firstLine="720"/>
        <w:jc w:val="both"/>
      </w:pPr>
    </w:p>
    <w:p w14:paraId="42D31C28">
      <w:pPr>
        <w:pStyle w:val="20"/>
        <w:ind w:left="0" w:firstLine="720"/>
      </w:pPr>
      <w:r>
        <w:t xml:space="preserve"> Предлог финансијског плана обухвата:</w:t>
      </w:r>
    </w:p>
    <w:p w14:paraId="37EC087E">
      <w:pPr>
        <w:pStyle w:val="20"/>
        <w:ind w:left="0" w:firstLine="720"/>
      </w:pPr>
    </w:p>
    <w:p w14:paraId="750E9B11">
      <w:pPr>
        <w:pStyle w:val="20"/>
        <w:jc w:val="both"/>
      </w:pPr>
      <w:r>
        <w:t xml:space="preserve"> 1) приходе и примања , расходе и издатке за трогодишњи период, исказане по буџетској класификацији;</w:t>
      </w:r>
    </w:p>
    <w:p w14:paraId="4C5FDE73">
      <w:pPr>
        <w:pStyle w:val="20"/>
        <w:ind w:left="0" w:firstLine="720"/>
        <w:jc w:val="both"/>
      </w:pPr>
      <w:r>
        <w:t xml:space="preserve"> 2) детаљно писано образложење расхода и издатака, као и извора финансирања;</w:t>
      </w:r>
    </w:p>
    <w:p w14:paraId="14E5C49C">
      <w:pPr>
        <w:pStyle w:val="20"/>
        <w:ind w:left="0" w:firstLine="720"/>
        <w:jc w:val="both"/>
      </w:pPr>
      <w:r>
        <w:t xml:space="preserve"> 3) родну анализу расхода и издатака;</w:t>
      </w:r>
    </w:p>
    <w:p w14:paraId="4DB45E8D">
      <w:pPr>
        <w:pStyle w:val="20"/>
        <w:ind w:left="0" w:firstLine="720"/>
        <w:jc w:val="both"/>
      </w:pPr>
      <w:r>
        <w:t xml:space="preserve"> 4) програмске информације .</w:t>
      </w:r>
    </w:p>
    <w:p w14:paraId="1B9C24D0">
      <w:pPr>
        <w:pStyle w:val="20"/>
        <w:ind w:left="0" w:firstLine="720"/>
        <w:jc w:val="both"/>
      </w:pPr>
    </w:p>
    <w:p w14:paraId="503CEE04">
      <w:pPr>
        <w:pStyle w:val="20"/>
        <w:ind w:left="0" w:firstLine="720"/>
        <w:jc w:val="both"/>
      </w:pPr>
      <w:r>
        <w:t xml:space="preserve"> Предлог финансијског плана садржи следеће табеле (обрасце): </w:t>
      </w:r>
    </w:p>
    <w:p w14:paraId="4C8400F8">
      <w:pPr>
        <w:pStyle w:val="20"/>
        <w:ind w:left="0" w:firstLine="720"/>
        <w:jc w:val="both"/>
      </w:pPr>
    </w:p>
    <w:p w14:paraId="7F260B0C">
      <w:pPr>
        <w:pStyle w:val="20"/>
        <w:ind w:left="0" w:firstLine="720"/>
        <w:jc w:val="both"/>
      </w:pPr>
      <w:r>
        <w:t xml:space="preserve">1) План прихода и примања , расхода и издатака, </w:t>
      </w:r>
    </w:p>
    <w:p w14:paraId="7182CD35">
      <w:pPr>
        <w:pStyle w:val="20"/>
        <w:ind w:left="0" w:firstLine="720"/>
        <w:jc w:val="both"/>
      </w:pPr>
      <w:r>
        <w:t>2) Програмску структуру плана са дефинисаним циљевима и индикаторима,</w:t>
      </w:r>
    </w:p>
    <w:p w14:paraId="42076237">
      <w:pPr>
        <w:pStyle w:val="20"/>
        <w:ind w:left="0" w:firstLine="720"/>
        <w:jc w:val="both"/>
      </w:pPr>
      <w:r>
        <w:t xml:space="preserve"> 3) План капиталних улагања и</w:t>
      </w:r>
    </w:p>
    <w:p w14:paraId="304FAA7A">
      <w:pPr>
        <w:pStyle w:val="20"/>
        <w:ind w:left="0" w:firstLine="720"/>
        <w:jc w:val="both"/>
      </w:pPr>
      <w:r>
        <w:t xml:space="preserve"> 4) План плата и броја запослених. </w:t>
      </w:r>
    </w:p>
    <w:p w14:paraId="7B4BE3A2">
      <w:pPr>
        <w:pStyle w:val="20"/>
        <w:ind w:left="0" w:firstLine="720"/>
        <w:jc w:val="both"/>
      </w:pPr>
      <w:r>
        <w:t>Као прилог предлога финансијског плана директни корисници буџетских средстава достављају извештај о учинку програма за првих шест месеци текуће године.</w:t>
      </w:r>
    </w:p>
    <w:p w14:paraId="2968AB79">
      <w:pPr>
        <w:pStyle w:val="20"/>
        <w:ind w:left="0" w:firstLine="720"/>
      </w:pPr>
    </w:p>
    <w:p w14:paraId="2F8710E8">
      <w:pPr>
        <w:pStyle w:val="20"/>
        <w:numPr>
          <w:ilvl w:val="0"/>
          <w:numId w:val="5"/>
        </w:numPr>
        <w:ind w:left="0" w:leftChars="0" w:firstLine="720" w:firstLineChars="0"/>
        <w:rPr>
          <w:b/>
        </w:rPr>
      </w:pPr>
      <w:r>
        <w:rPr>
          <w:b/>
        </w:rPr>
        <w:t xml:space="preserve">Календар буџета локалне власти: </w:t>
      </w:r>
    </w:p>
    <w:p w14:paraId="6BA066DA">
      <w:pPr>
        <w:pStyle w:val="20"/>
        <w:ind w:left="0" w:firstLine="720"/>
        <w:rPr>
          <w:b/>
        </w:rPr>
      </w:pPr>
    </w:p>
    <w:p w14:paraId="0396997B">
      <w:pPr>
        <w:pStyle w:val="20"/>
        <w:ind w:left="0" w:firstLine="720"/>
        <w:jc w:val="both"/>
      </w:pPr>
      <w:r>
        <w:t>1) 1. август – локални орган надлежан за финансије  доставља упутство за припрему нацрта буџета општине;</w:t>
      </w:r>
    </w:p>
    <w:p w14:paraId="438AC6E5">
      <w:pPr>
        <w:pStyle w:val="20"/>
        <w:ind w:left="0" w:firstLine="720"/>
        <w:jc w:val="both"/>
      </w:pPr>
      <w:r>
        <w:t>2) 15. септембар – директни и индиректни  корисници средстава буџета локалне власти достављају  предлог финансијског плана  локалном органу управе надлежном за финансије за буџетску и наредне две фискалне године који садржи извештај о учинку програма за првих шест месеци текуће године;</w:t>
      </w:r>
    </w:p>
    <w:p w14:paraId="3DFD1669">
      <w:pPr>
        <w:pStyle w:val="20"/>
        <w:ind w:left="0" w:firstLine="720"/>
        <w:jc w:val="both"/>
      </w:pPr>
      <w:r>
        <w:t xml:space="preserve"> 3) 1. новембар – локални орган управе надлежан за финансије  доставља нацрт одлуке о буџету Општинском већу </w:t>
      </w:r>
    </w:p>
    <w:p w14:paraId="31517E1B">
      <w:pPr>
        <w:pStyle w:val="20"/>
        <w:ind w:left="0" w:firstLine="720"/>
        <w:jc w:val="both"/>
      </w:pPr>
      <w:r>
        <w:t>4) 15. новембар – Општинско веће општине Ћићевац, доставља предлог одлуке о буџету Скупштини општине;</w:t>
      </w:r>
    </w:p>
    <w:p w14:paraId="1E5FA1FC">
      <w:pPr>
        <w:pStyle w:val="20"/>
        <w:ind w:left="0" w:firstLine="720"/>
        <w:jc w:val="both"/>
      </w:pPr>
      <w:r>
        <w:t xml:space="preserve"> 5) 20. децембар - Скупштина општине Ћићевац доноси одлуку о буџету општине;</w:t>
      </w:r>
    </w:p>
    <w:p w14:paraId="55D601A9">
      <w:pPr>
        <w:pStyle w:val="20"/>
        <w:ind w:left="0" w:firstLine="720"/>
        <w:jc w:val="both"/>
      </w:pPr>
      <w:r>
        <w:t xml:space="preserve"> 6) 25. децембар –  локални орган управе надлежан за финансије  доставља министру одлуку о буџету општине. </w:t>
      </w:r>
    </w:p>
    <w:p w14:paraId="0E0A8451">
      <w:pPr>
        <w:pStyle w:val="20"/>
        <w:ind w:left="0" w:firstLine="720"/>
        <w:jc w:val="both"/>
      </w:pPr>
      <w:r>
        <w:t>Рокови из става 1. овог члана представљају крајње рокове у буџетском календару.</w:t>
      </w:r>
    </w:p>
    <w:p w14:paraId="4482DBAF">
      <w:pPr>
        <w:pStyle w:val="20"/>
        <w:ind w:left="0" w:firstLine="720"/>
      </w:pPr>
    </w:p>
    <w:p w14:paraId="6B32B49E">
      <w:pPr>
        <w:pStyle w:val="20"/>
        <w:numPr>
          <w:ilvl w:val="0"/>
          <w:numId w:val="5"/>
        </w:numPr>
        <w:ind w:left="0" w:leftChars="0" w:firstLine="720" w:firstLineChars="0"/>
        <w:rPr>
          <w:b/>
        </w:rPr>
      </w:pPr>
      <w:r>
        <w:rPr>
          <w:b/>
          <w:lang w:val="sr-Cyrl-RS"/>
        </w:rPr>
        <w:t>Н</w:t>
      </w:r>
      <w:r>
        <w:rPr>
          <w:b/>
        </w:rPr>
        <w:t>ачин на који ће се у буџету исказати родна анализа буџета локалне власти</w:t>
      </w:r>
    </w:p>
    <w:p w14:paraId="54EBFBAE">
      <w:pPr>
        <w:pStyle w:val="20"/>
        <w:ind w:left="0" w:leftChars="0" w:firstLine="0" w:firstLineChars="0"/>
        <w:jc w:val="both"/>
      </w:pPr>
      <w:r>
        <w:t xml:space="preserve"> </w:t>
      </w:r>
    </w:p>
    <w:p w14:paraId="7C23215E">
      <w:pPr>
        <w:pStyle w:val="20"/>
        <w:ind w:left="0" w:firstLine="720"/>
        <w:jc w:val="both"/>
        <w:rPr>
          <w:b/>
          <w:color w:val="808080" w:themeColor="text1" w:themeTint="80"/>
          <w14:textFill>
            <w14:solidFill>
              <w14:schemeClr w14:val="tx1">
                <w14:lumMod w14:val="50000"/>
                <w14:lumOff w14:val="50000"/>
              </w14:schemeClr>
            </w14:solidFill>
          </w14:textFill>
        </w:rPr>
      </w:pPr>
      <w:r>
        <w:t xml:space="preserve"> Родна компонента буџета за 202</w:t>
      </w:r>
      <w:r>
        <w:rPr>
          <w:rFonts w:hint="default"/>
          <w:lang w:val="sr-Cyrl-RS"/>
        </w:rPr>
        <w:t>6</w:t>
      </w:r>
      <w:r>
        <w:t>. годину дефинисана је Планом поступног увођења родно одговорног буџетирања за кориснике буџетских средстава Општинe Ћићевац, за 202</w:t>
      </w:r>
      <w:r>
        <w:rPr>
          <w:rFonts w:hint="default"/>
          <w:lang w:val="sr-Cyrl-RS"/>
        </w:rPr>
        <w:t>6</w:t>
      </w:r>
      <w:r>
        <w:t>. годину, путем дефинисања следећих  програма</w:t>
      </w:r>
      <w:r>
        <w:rPr>
          <w:b/>
          <w:color w:val="808080" w:themeColor="text1" w:themeTint="80"/>
          <w14:textFill>
            <w14:solidFill>
              <w14:schemeClr w14:val="tx1">
                <w14:lumMod w14:val="50000"/>
                <w14:lumOff w14:val="50000"/>
              </w14:schemeClr>
            </w14:solidFill>
          </w14:textFill>
        </w:rPr>
        <w:t>:</w:t>
      </w:r>
    </w:p>
    <w:p w14:paraId="6AC40736">
      <w:pPr>
        <w:pStyle w:val="20"/>
        <w:ind w:left="0" w:firstLine="720"/>
        <w:rPr>
          <w:color w:val="000000" w:themeColor="text1"/>
          <w14:textFill>
            <w14:solidFill>
              <w14:schemeClr w14:val="tx1"/>
            </w14:solidFill>
          </w14:textFill>
        </w:rPr>
      </w:pPr>
    </w:p>
    <w:tbl>
      <w:tblPr>
        <w:tblStyle w:val="12"/>
        <w:tblW w:w="9576"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13"/>
        <w:gridCol w:w="4110"/>
        <w:gridCol w:w="4653"/>
      </w:tblGrid>
      <w:tr w14:paraId="043F21B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3" w:type="dxa"/>
          </w:tcPr>
          <w:p w14:paraId="7D558A64">
            <w:pPr>
              <w:pStyle w:val="20"/>
              <w:spacing w:after="0" w:line="240" w:lineRule="auto"/>
              <w:ind w:left="0"/>
              <w:rPr>
                <w:color w:val="000000" w:themeColor="text1"/>
                <w14:textFill>
                  <w14:solidFill>
                    <w14:schemeClr w14:val="tx1"/>
                  </w14:solidFill>
                </w14:textFill>
              </w:rPr>
            </w:pPr>
            <w:r>
              <w:rPr>
                <w:color w:val="000000" w:themeColor="text1"/>
                <w14:textFill>
                  <w14:solidFill>
                    <w14:schemeClr w14:val="tx1"/>
                  </w14:solidFill>
                </w14:textFill>
              </w:rPr>
              <w:t>Редни број</w:t>
            </w:r>
          </w:p>
        </w:tc>
        <w:tc>
          <w:tcPr>
            <w:tcW w:w="4110" w:type="dxa"/>
          </w:tcPr>
          <w:p w14:paraId="55AB0E1F">
            <w:pPr>
              <w:pStyle w:val="20"/>
              <w:spacing w:after="0" w:line="240" w:lineRule="auto"/>
              <w:ind w:left="0"/>
              <w:jc w:val="center"/>
              <w:rPr>
                <w:color w:val="000000" w:themeColor="text1"/>
                <w14:textFill>
                  <w14:solidFill>
                    <w14:schemeClr w14:val="tx1"/>
                  </w14:solidFill>
                </w14:textFill>
              </w:rPr>
            </w:pPr>
          </w:p>
          <w:p w14:paraId="1E499567">
            <w:pPr>
              <w:pStyle w:val="20"/>
              <w:spacing w:after="0" w:line="240" w:lineRule="auto"/>
              <w:ind w:left="0"/>
              <w:jc w:val="center"/>
              <w:rPr>
                <w:color w:val="000000" w:themeColor="text1"/>
                <w14:textFill>
                  <w14:solidFill>
                    <w14:schemeClr w14:val="tx1"/>
                  </w14:solidFill>
                </w14:textFill>
              </w:rPr>
            </w:pPr>
          </w:p>
          <w:p w14:paraId="07F5579B">
            <w:pPr>
              <w:pStyle w:val="20"/>
              <w:spacing w:after="0" w:line="240" w:lineRule="auto"/>
              <w:ind w:left="0"/>
              <w:jc w:val="center"/>
              <w:rPr>
                <w:color w:val="000000" w:themeColor="text1"/>
                <w14:textFill>
                  <w14:solidFill>
                    <w14:schemeClr w14:val="tx1"/>
                  </w14:solidFill>
                </w14:textFill>
              </w:rPr>
            </w:pPr>
            <w:r>
              <w:rPr>
                <w:color w:val="000000" w:themeColor="text1"/>
                <w14:textFill>
                  <w14:solidFill>
                    <w14:schemeClr w14:val="tx1"/>
                  </w14:solidFill>
                </w14:textFill>
              </w:rPr>
              <w:t>Назив буџетског корисника</w:t>
            </w:r>
          </w:p>
        </w:tc>
        <w:tc>
          <w:tcPr>
            <w:tcW w:w="4653" w:type="dxa"/>
          </w:tcPr>
          <w:p w14:paraId="6A2E77D9">
            <w:pPr>
              <w:pStyle w:val="20"/>
              <w:spacing w:after="0" w:line="240" w:lineRule="auto"/>
              <w:ind w:left="0"/>
              <w:jc w:val="center"/>
              <w:rPr>
                <w:color w:val="000000" w:themeColor="text1"/>
                <w14:textFill>
                  <w14:solidFill>
                    <w14:schemeClr w14:val="tx1"/>
                  </w14:solidFill>
                </w14:textFill>
              </w:rPr>
            </w:pPr>
            <w:r>
              <w:rPr>
                <w:color w:val="000000" w:themeColor="text1"/>
                <w14:textFill>
                  <w14:solidFill>
                    <w14:schemeClr w14:val="tx1"/>
                  </w14:solidFill>
                </w14:textFill>
              </w:rPr>
              <w:t>Назив програма</w:t>
            </w:r>
          </w:p>
          <w:p w14:paraId="13B8B5EC">
            <w:pPr>
              <w:pStyle w:val="20"/>
              <w:spacing w:after="0" w:line="240" w:lineRule="auto"/>
              <w:ind w:left="0"/>
              <w:jc w:val="center"/>
              <w:rPr>
                <w:color w:val="000000" w:themeColor="text1"/>
                <w14:textFill>
                  <w14:solidFill>
                    <w14:schemeClr w14:val="tx1"/>
                  </w14:solidFill>
                </w14:textFill>
              </w:rPr>
            </w:pPr>
            <w:r>
              <w:rPr>
                <w:color w:val="000000" w:themeColor="text1"/>
                <w14:textFill>
                  <w14:solidFill>
                    <w14:schemeClr w14:val="tx1"/>
                  </w14:solidFill>
                </w14:textFill>
              </w:rPr>
              <w:t>(број и назив програма у складу са униформном програмском структуром буџета ЈЛС утврђеном у 202</w:t>
            </w:r>
            <w:r>
              <w:rPr>
                <w:rFonts w:hint="default"/>
                <w:color w:val="000000" w:themeColor="text1"/>
                <w:lang w:val="sr-Cyrl-RS"/>
                <w14:textFill>
                  <w14:solidFill>
                    <w14:schemeClr w14:val="tx1"/>
                  </w14:solidFill>
                </w14:textFill>
              </w:rPr>
              <w:t>6</w:t>
            </w:r>
            <w:r>
              <w:rPr>
                <w:color w:val="000000" w:themeColor="text1"/>
                <w14:textFill>
                  <w14:solidFill>
                    <w14:schemeClr w14:val="tx1"/>
                  </w14:solidFill>
                </w14:textFill>
              </w:rPr>
              <w:t>. години)</w:t>
            </w:r>
          </w:p>
          <w:p w14:paraId="3027DC67">
            <w:pPr>
              <w:pStyle w:val="20"/>
              <w:spacing w:after="0" w:line="240" w:lineRule="auto"/>
              <w:ind w:left="-5212" w:firstLine="426"/>
              <w:jc w:val="center"/>
              <w:rPr>
                <w:color w:val="000000" w:themeColor="text1"/>
                <w14:textFill>
                  <w14:solidFill>
                    <w14:schemeClr w14:val="tx1"/>
                  </w14:solidFill>
                </w14:textFill>
              </w:rPr>
            </w:pPr>
          </w:p>
        </w:tc>
      </w:tr>
      <w:tr w14:paraId="3DA0C45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3" w:type="dxa"/>
          </w:tcPr>
          <w:p w14:paraId="04FCB868">
            <w:pPr>
              <w:pStyle w:val="20"/>
              <w:spacing w:after="0" w:line="240" w:lineRule="auto"/>
              <w:ind w:left="0"/>
              <w:rPr>
                <w:color w:val="000000" w:themeColor="text1"/>
                <w14:textFill>
                  <w14:solidFill>
                    <w14:schemeClr w14:val="tx1"/>
                  </w14:solidFill>
                </w14:textFill>
              </w:rPr>
            </w:pPr>
            <w:r>
              <w:rPr>
                <w:color w:val="000000" w:themeColor="text1"/>
                <w14:textFill>
                  <w14:solidFill>
                    <w14:schemeClr w14:val="tx1"/>
                  </w14:solidFill>
                </w14:textFill>
              </w:rPr>
              <w:t>1.</w:t>
            </w:r>
          </w:p>
        </w:tc>
        <w:tc>
          <w:tcPr>
            <w:tcW w:w="4110" w:type="dxa"/>
          </w:tcPr>
          <w:p w14:paraId="6E3B223B">
            <w:pPr>
              <w:pStyle w:val="20"/>
              <w:spacing w:after="0" w:line="240" w:lineRule="auto"/>
              <w:ind w:left="0"/>
              <w:rPr>
                <w:color w:val="000000" w:themeColor="text1"/>
                <w14:textFill>
                  <w14:solidFill>
                    <w14:schemeClr w14:val="tx1"/>
                  </w14:solidFill>
                </w14:textFill>
              </w:rPr>
            </w:pPr>
            <w:r>
              <w:rPr>
                <w:color w:val="000000" w:themeColor="text1"/>
                <w14:textFill>
                  <w14:solidFill>
                    <w14:schemeClr w14:val="tx1"/>
                  </w14:solidFill>
                </w14:textFill>
              </w:rPr>
              <w:t>Општинска управа</w:t>
            </w:r>
          </w:p>
        </w:tc>
        <w:tc>
          <w:tcPr>
            <w:tcW w:w="4653" w:type="dxa"/>
          </w:tcPr>
          <w:p w14:paraId="6D9D10F7">
            <w:pPr>
              <w:pStyle w:val="20"/>
              <w:spacing w:after="0" w:line="240" w:lineRule="auto"/>
              <w:ind w:left="0"/>
              <w:rPr>
                <w:color w:val="000000" w:themeColor="text1"/>
                <w14:textFill>
                  <w14:solidFill>
                    <w14:schemeClr w14:val="tx1"/>
                  </w14:solidFill>
                </w14:textFill>
              </w:rPr>
            </w:pPr>
            <w:r>
              <w:rPr>
                <w:color w:val="000000" w:themeColor="text1"/>
                <w14:textFill>
                  <w14:solidFill>
                    <w14:schemeClr w14:val="tx1"/>
                  </w14:solidFill>
                </w14:textFill>
              </w:rPr>
              <w:t>Програм 3 – Локални економски развој</w:t>
            </w:r>
          </w:p>
        </w:tc>
      </w:tr>
      <w:tr w14:paraId="23E3D14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3" w:type="dxa"/>
          </w:tcPr>
          <w:p w14:paraId="5B996478">
            <w:pPr>
              <w:pStyle w:val="20"/>
              <w:spacing w:after="0" w:line="240" w:lineRule="auto"/>
              <w:ind w:left="0"/>
              <w:rPr>
                <w:color w:val="000000" w:themeColor="text1"/>
                <w14:textFill>
                  <w14:solidFill>
                    <w14:schemeClr w14:val="tx1"/>
                  </w14:solidFill>
                </w14:textFill>
              </w:rPr>
            </w:pPr>
            <w:r>
              <w:rPr>
                <w:color w:val="000000" w:themeColor="text1"/>
                <w14:textFill>
                  <w14:solidFill>
                    <w14:schemeClr w14:val="tx1"/>
                  </w14:solidFill>
                </w14:textFill>
              </w:rPr>
              <w:t>2.</w:t>
            </w:r>
          </w:p>
        </w:tc>
        <w:tc>
          <w:tcPr>
            <w:tcW w:w="4110" w:type="dxa"/>
          </w:tcPr>
          <w:p w14:paraId="26B03D24">
            <w:pPr>
              <w:pStyle w:val="20"/>
              <w:spacing w:after="0" w:line="240" w:lineRule="auto"/>
              <w:ind w:left="0"/>
              <w:rPr>
                <w:color w:val="000000" w:themeColor="text1"/>
                <w14:textFill>
                  <w14:solidFill>
                    <w14:schemeClr w14:val="tx1"/>
                  </w14:solidFill>
                </w14:textFill>
              </w:rPr>
            </w:pPr>
            <w:r>
              <w:rPr>
                <w:color w:val="000000" w:themeColor="text1"/>
                <w14:textFill>
                  <w14:solidFill>
                    <w14:schemeClr w14:val="tx1"/>
                  </w14:solidFill>
                </w14:textFill>
              </w:rPr>
              <w:t>Општинска управа</w:t>
            </w:r>
          </w:p>
        </w:tc>
        <w:tc>
          <w:tcPr>
            <w:tcW w:w="4653" w:type="dxa"/>
          </w:tcPr>
          <w:p w14:paraId="522656FC">
            <w:pPr>
              <w:pStyle w:val="20"/>
              <w:spacing w:after="0" w:line="240" w:lineRule="auto"/>
              <w:ind w:left="0"/>
              <w:rPr>
                <w:color w:val="000000" w:themeColor="text1"/>
                <w14:textFill>
                  <w14:solidFill>
                    <w14:schemeClr w14:val="tx1"/>
                  </w14:solidFill>
                </w14:textFill>
              </w:rPr>
            </w:pPr>
            <w:r>
              <w:rPr>
                <w:color w:val="000000" w:themeColor="text1"/>
                <w14:textFill>
                  <w14:solidFill>
                    <w14:schemeClr w14:val="tx1"/>
                  </w14:solidFill>
                </w14:textFill>
              </w:rPr>
              <w:t>Програм 4 – Развој туризма</w:t>
            </w:r>
          </w:p>
        </w:tc>
      </w:tr>
      <w:tr w14:paraId="01B36C7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3" w:type="dxa"/>
          </w:tcPr>
          <w:p w14:paraId="75E02818">
            <w:pPr>
              <w:pStyle w:val="20"/>
              <w:spacing w:after="0" w:line="240" w:lineRule="auto"/>
              <w:ind w:left="0"/>
              <w:rPr>
                <w:color w:val="000000" w:themeColor="text1"/>
                <w14:textFill>
                  <w14:solidFill>
                    <w14:schemeClr w14:val="tx1"/>
                  </w14:solidFill>
                </w14:textFill>
              </w:rPr>
            </w:pPr>
            <w:r>
              <w:rPr>
                <w:color w:val="000000" w:themeColor="text1"/>
                <w14:textFill>
                  <w14:solidFill>
                    <w14:schemeClr w14:val="tx1"/>
                  </w14:solidFill>
                </w14:textFill>
              </w:rPr>
              <w:t>3.</w:t>
            </w:r>
          </w:p>
        </w:tc>
        <w:tc>
          <w:tcPr>
            <w:tcW w:w="4110" w:type="dxa"/>
          </w:tcPr>
          <w:p w14:paraId="336F0D5E">
            <w:pPr>
              <w:pStyle w:val="20"/>
              <w:spacing w:after="0" w:line="240" w:lineRule="auto"/>
              <w:ind w:left="0"/>
              <w:rPr>
                <w:color w:val="000000" w:themeColor="text1"/>
                <w14:textFill>
                  <w14:solidFill>
                    <w14:schemeClr w14:val="tx1"/>
                  </w14:solidFill>
                </w14:textFill>
              </w:rPr>
            </w:pPr>
            <w:r>
              <w:rPr>
                <w:color w:val="000000" w:themeColor="text1"/>
                <w14:textFill>
                  <w14:solidFill>
                    <w14:schemeClr w14:val="tx1"/>
                  </w14:solidFill>
                </w14:textFill>
              </w:rPr>
              <w:t>Општинска управа</w:t>
            </w:r>
          </w:p>
        </w:tc>
        <w:tc>
          <w:tcPr>
            <w:tcW w:w="4653" w:type="dxa"/>
          </w:tcPr>
          <w:p w14:paraId="4660914F">
            <w:pPr>
              <w:pStyle w:val="20"/>
              <w:spacing w:after="0" w:line="240" w:lineRule="auto"/>
              <w:ind w:left="0"/>
              <w:rPr>
                <w:color w:val="000000" w:themeColor="text1"/>
                <w14:textFill>
                  <w14:solidFill>
                    <w14:schemeClr w14:val="tx1"/>
                  </w14:solidFill>
                </w14:textFill>
              </w:rPr>
            </w:pPr>
            <w:r>
              <w:rPr>
                <w:color w:val="000000" w:themeColor="text1"/>
                <w14:textFill>
                  <w14:solidFill>
                    <w14:schemeClr w14:val="tx1"/>
                  </w14:solidFill>
                </w14:textFill>
              </w:rPr>
              <w:t>Програм 5 – Пољиопривреда и рурални развој</w:t>
            </w:r>
          </w:p>
        </w:tc>
      </w:tr>
      <w:tr w14:paraId="3F20151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3" w:type="dxa"/>
            <w:tcBorders>
              <w:top w:val="nil"/>
            </w:tcBorders>
          </w:tcPr>
          <w:p w14:paraId="5B544F11">
            <w:pPr>
              <w:pStyle w:val="20"/>
              <w:spacing w:after="0" w:line="240" w:lineRule="auto"/>
              <w:ind w:left="0"/>
              <w:rPr>
                <w:color w:val="000000" w:themeColor="text1"/>
                <w14:textFill>
                  <w14:solidFill>
                    <w14:schemeClr w14:val="tx1"/>
                  </w14:solidFill>
                </w14:textFill>
              </w:rPr>
            </w:pPr>
            <w:r>
              <w:t xml:space="preserve">4. </w:t>
            </w:r>
          </w:p>
        </w:tc>
        <w:tc>
          <w:tcPr>
            <w:tcW w:w="4110" w:type="dxa"/>
            <w:tcBorders>
              <w:top w:val="nil"/>
            </w:tcBorders>
          </w:tcPr>
          <w:p w14:paraId="4C6A3078">
            <w:pPr>
              <w:pStyle w:val="20"/>
              <w:spacing w:after="0" w:line="240" w:lineRule="auto"/>
              <w:ind w:left="0"/>
              <w:rPr>
                <w:color w:val="000000" w:themeColor="text1"/>
                <w14:textFill>
                  <w14:solidFill>
                    <w14:schemeClr w14:val="tx1"/>
                  </w14:solidFill>
                </w14:textFill>
              </w:rPr>
            </w:pPr>
            <w:r>
              <w:t>Општинска управа</w:t>
            </w:r>
          </w:p>
        </w:tc>
        <w:tc>
          <w:tcPr>
            <w:tcW w:w="4653" w:type="dxa"/>
            <w:tcBorders>
              <w:top w:val="nil"/>
            </w:tcBorders>
          </w:tcPr>
          <w:p w14:paraId="20D24EA7">
            <w:pPr>
              <w:pStyle w:val="20"/>
              <w:spacing w:after="0" w:line="240" w:lineRule="auto"/>
              <w:ind w:left="0"/>
              <w:rPr>
                <w:color w:val="000000" w:themeColor="text1"/>
                <w14:textFill>
                  <w14:solidFill>
                    <w14:schemeClr w14:val="tx1"/>
                  </w14:solidFill>
                </w14:textFill>
              </w:rPr>
            </w:pPr>
            <w:r>
              <w:rPr>
                <w:color w:val="000000" w:themeColor="text1"/>
                <w14:textFill>
                  <w14:solidFill>
                    <w14:schemeClr w14:val="tx1"/>
                  </w14:solidFill>
                </w14:textFill>
              </w:rPr>
              <w:t>Програм 11 – Социјална и дечја заштита</w:t>
            </w:r>
          </w:p>
        </w:tc>
      </w:tr>
      <w:tr w14:paraId="5497E64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3" w:type="dxa"/>
            <w:tcBorders>
              <w:top w:val="nil"/>
            </w:tcBorders>
          </w:tcPr>
          <w:p w14:paraId="4CD5E494">
            <w:pPr>
              <w:pStyle w:val="20"/>
              <w:spacing w:after="0" w:line="240" w:lineRule="auto"/>
              <w:ind w:left="0"/>
              <w:rPr>
                <w:color w:val="000000" w:themeColor="text1"/>
                <w14:textFill>
                  <w14:solidFill>
                    <w14:schemeClr w14:val="tx1"/>
                  </w14:solidFill>
                </w14:textFill>
              </w:rPr>
            </w:pPr>
            <w:r>
              <w:t>5.</w:t>
            </w:r>
          </w:p>
        </w:tc>
        <w:tc>
          <w:tcPr>
            <w:tcW w:w="4110" w:type="dxa"/>
            <w:tcBorders>
              <w:top w:val="nil"/>
            </w:tcBorders>
          </w:tcPr>
          <w:p w14:paraId="44AED7B5">
            <w:pPr>
              <w:pStyle w:val="20"/>
              <w:spacing w:after="0" w:line="240" w:lineRule="auto"/>
              <w:ind w:left="0"/>
              <w:rPr>
                <w:color w:val="000000" w:themeColor="text1"/>
                <w14:textFill>
                  <w14:solidFill>
                    <w14:schemeClr w14:val="tx1"/>
                  </w14:solidFill>
                </w14:textFill>
              </w:rPr>
            </w:pPr>
            <w:r>
              <w:t>Општинска управа</w:t>
            </w:r>
          </w:p>
        </w:tc>
        <w:tc>
          <w:tcPr>
            <w:tcW w:w="4653" w:type="dxa"/>
            <w:tcBorders>
              <w:top w:val="nil"/>
            </w:tcBorders>
          </w:tcPr>
          <w:p w14:paraId="029621B6">
            <w:pPr>
              <w:pStyle w:val="20"/>
              <w:spacing w:after="0" w:line="240" w:lineRule="auto"/>
              <w:ind w:left="0"/>
              <w:rPr>
                <w:color w:val="000000" w:themeColor="text1"/>
                <w14:textFill>
                  <w14:solidFill>
                    <w14:schemeClr w14:val="tx1"/>
                  </w14:solidFill>
                </w14:textFill>
              </w:rPr>
            </w:pPr>
            <w:r>
              <w:rPr>
                <w:color w:val="000000" w:themeColor="text1"/>
                <w14:textFill>
                  <w14:solidFill>
                    <w14:schemeClr w14:val="tx1"/>
                  </w14:solidFill>
                </w14:textFill>
              </w:rPr>
              <w:t>Програм 13- Развој културе и информисања</w:t>
            </w:r>
          </w:p>
        </w:tc>
      </w:tr>
      <w:tr w14:paraId="4D155ED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3" w:type="dxa"/>
            <w:tcBorders>
              <w:top w:val="nil"/>
            </w:tcBorders>
          </w:tcPr>
          <w:p w14:paraId="62695316">
            <w:pPr>
              <w:pStyle w:val="20"/>
              <w:spacing w:after="0" w:line="240" w:lineRule="auto"/>
              <w:ind w:left="0"/>
              <w:rPr>
                <w:color w:val="000000" w:themeColor="text1"/>
                <w14:textFill>
                  <w14:solidFill>
                    <w14:schemeClr w14:val="tx1"/>
                  </w14:solidFill>
                </w14:textFill>
              </w:rPr>
            </w:pPr>
            <w:r>
              <w:t>6.</w:t>
            </w:r>
          </w:p>
        </w:tc>
        <w:tc>
          <w:tcPr>
            <w:tcW w:w="4110" w:type="dxa"/>
            <w:tcBorders>
              <w:top w:val="nil"/>
            </w:tcBorders>
          </w:tcPr>
          <w:p w14:paraId="7DA54D0D">
            <w:pPr>
              <w:pStyle w:val="20"/>
              <w:spacing w:after="0" w:line="240" w:lineRule="auto"/>
              <w:ind w:left="0"/>
              <w:rPr>
                <w:color w:val="000000" w:themeColor="text1"/>
                <w14:textFill>
                  <w14:solidFill>
                    <w14:schemeClr w14:val="tx1"/>
                  </w14:solidFill>
                </w14:textFill>
              </w:rPr>
            </w:pPr>
            <w:r>
              <w:t>Општинска управа</w:t>
            </w:r>
          </w:p>
        </w:tc>
        <w:tc>
          <w:tcPr>
            <w:tcW w:w="4653" w:type="dxa"/>
            <w:tcBorders>
              <w:top w:val="nil"/>
            </w:tcBorders>
          </w:tcPr>
          <w:p w14:paraId="4989F8AA">
            <w:pPr>
              <w:pStyle w:val="20"/>
              <w:spacing w:after="0" w:line="240" w:lineRule="auto"/>
              <w:ind w:left="0"/>
              <w:rPr>
                <w:color w:val="000000" w:themeColor="text1"/>
                <w14:textFill>
                  <w14:solidFill>
                    <w14:schemeClr w14:val="tx1"/>
                  </w14:solidFill>
                </w14:textFill>
              </w:rPr>
            </w:pPr>
            <w:r>
              <w:rPr>
                <w:color w:val="000000" w:themeColor="text1"/>
                <w14:textFill>
                  <w14:solidFill>
                    <w14:schemeClr w14:val="tx1"/>
                  </w14:solidFill>
                </w14:textFill>
              </w:rPr>
              <w:t>Програм 14 – Развој спорта и омладине</w:t>
            </w:r>
          </w:p>
        </w:tc>
      </w:tr>
    </w:tbl>
    <w:p w14:paraId="47E4F43D">
      <w:pPr>
        <w:rPr>
          <w:color w:val="FF0000"/>
        </w:rPr>
      </w:pPr>
    </w:p>
    <w:p w14:paraId="357AAB97">
      <w:pPr>
        <w:pStyle w:val="20"/>
        <w:ind w:left="0" w:firstLine="720"/>
      </w:pPr>
      <w:r>
        <w:t xml:space="preserve"> </w:t>
      </w:r>
    </w:p>
    <w:p w14:paraId="3E159B1E">
      <w:pPr>
        <w:pStyle w:val="20"/>
        <w:numPr>
          <w:ilvl w:val="0"/>
          <w:numId w:val="5"/>
        </w:numPr>
        <w:ind w:left="0" w:leftChars="0" w:firstLine="720" w:firstLineChars="0"/>
        <w:rPr>
          <w:b/>
        </w:rPr>
      </w:pPr>
      <w:r>
        <w:rPr>
          <w:b/>
          <w:lang w:val="sr-Cyrl-RS"/>
        </w:rPr>
        <w:t>Н</w:t>
      </w:r>
      <w:r>
        <w:rPr>
          <w:b/>
        </w:rPr>
        <w:t>ачин на који ће се исказати програмске информације</w:t>
      </w:r>
    </w:p>
    <w:p w14:paraId="5DECB0E1">
      <w:pPr>
        <w:pStyle w:val="20"/>
        <w:ind w:left="0" w:firstLine="720"/>
      </w:pPr>
    </w:p>
    <w:p w14:paraId="5C4A7F8E">
      <w:pPr>
        <w:pStyle w:val="20"/>
        <w:ind w:left="0" w:firstLine="720"/>
        <w:jc w:val="both"/>
      </w:pPr>
      <w:r>
        <w:t xml:space="preserve"> Законом о буџетском систему програмски буџет дефинисан је на следећи начин: ''Програмски део буџета саставни је део посебног дела буџета који садржи програме и активности корисника буџетских средстава, који се спроводе у циљу ефикасног управљања средствима предложеним програмима, а који доприносе остварењу стратешких циљева у складу са економском политиком земље.'' </w:t>
      </w:r>
    </w:p>
    <w:p w14:paraId="310C3FEE">
      <w:pPr>
        <w:pStyle w:val="20"/>
        <w:ind w:left="0" w:firstLine="720"/>
        <w:jc w:val="both"/>
      </w:pPr>
      <w:r>
        <w:t>Структуру програмског буџета чине три категорије: - Програми, - Програмске активности и - Пројекти.</w:t>
      </w:r>
    </w:p>
    <w:p w14:paraId="3DFD6308">
      <w:pPr>
        <w:pStyle w:val="20"/>
        <w:ind w:left="0" w:firstLine="720"/>
        <w:jc w:val="both"/>
      </w:pPr>
      <w:r>
        <w:t xml:space="preserve"> Програм је основни елемент програмског буџета.</w:t>
      </w:r>
    </w:p>
    <w:p w14:paraId="3CCCEE04">
      <w:pPr>
        <w:pStyle w:val="20"/>
        <w:ind w:left="0" w:firstLine="720"/>
        <w:jc w:val="both"/>
      </w:pPr>
      <w:r>
        <w:t xml:space="preserve"> Програм представља скуп мера које корисници буџета спроводе у складу са својим кључним надлежностима и утврђеним средњорочним циљевима.</w:t>
      </w:r>
    </w:p>
    <w:p w14:paraId="1CD3ED91">
      <w:pPr>
        <w:pStyle w:val="20"/>
        <w:ind w:left="0" w:firstLine="720"/>
        <w:jc w:val="both"/>
      </w:pPr>
      <w:r>
        <w:t xml:space="preserve"> Програм се састоји од независних, али тесно повезаних компоненти – програмских активности и пројеката.</w:t>
      </w:r>
    </w:p>
    <w:p w14:paraId="094D8C8D">
      <w:pPr>
        <w:pStyle w:val="20"/>
        <w:ind w:left="0" w:firstLine="720"/>
        <w:jc w:val="both"/>
      </w:pPr>
      <w:r>
        <w:t xml:space="preserve"> Алокација средстава опредељених за програм врши се апропријацијама везаним за програмске активности и пројекте у оквиру програма.</w:t>
      </w:r>
    </w:p>
    <w:p w14:paraId="7F15AB86">
      <w:pPr>
        <w:pStyle w:val="20"/>
        <w:ind w:left="0" w:firstLine="720"/>
        <w:jc w:val="both"/>
      </w:pPr>
      <w:r>
        <w:t xml:space="preserve"> Програм се утврђује и спроводи од стране једног или више корисника буџета и није временски ограничен.</w:t>
      </w:r>
    </w:p>
    <w:p w14:paraId="7D623D9F">
      <w:pPr>
        <w:pStyle w:val="20"/>
        <w:ind w:left="0" w:firstLine="720"/>
        <w:jc w:val="both"/>
      </w:pPr>
      <w:r>
        <w:t xml:space="preserve"> Програмска активност је текућа делатност корисника буџета. </w:t>
      </w:r>
    </w:p>
    <w:p w14:paraId="3CE2E609">
      <w:pPr>
        <w:pStyle w:val="20"/>
        <w:jc w:val="both"/>
      </w:pPr>
      <w:r>
        <w:t xml:space="preserve">Програмска активност се утврђује на основу његове уже дефинисане надлежности. Програмска активност мора бити део програма, спроводи се од стране само једног корисника буџета и није временски ограничена. </w:t>
      </w:r>
    </w:p>
    <w:p w14:paraId="679FC90D">
      <w:pPr>
        <w:pStyle w:val="20"/>
        <w:ind w:left="0" w:firstLine="720"/>
        <w:jc w:val="both"/>
      </w:pPr>
      <w:r>
        <w:t xml:space="preserve">Пројекат је временски ограничен пословни подухват корисника средстава буџета чијим спровођењем се постижу циљеви који доприносе постизању циљева програма. </w:t>
      </w:r>
    </w:p>
    <w:p w14:paraId="77F0D322">
      <w:pPr>
        <w:pStyle w:val="20"/>
        <w:ind w:left="0" w:firstLine="720"/>
        <w:jc w:val="both"/>
      </w:pPr>
      <w:r>
        <w:t xml:space="preserve"> У буџету локалних самоуправа пројекти нису унапред дефинисани и одређени.</w:t>
      </w:r>
    </w:p>
    <w:p w14:paraId="6CE0B044">
      <w:pPr>
        <w:pStyle w:val="20"/>
        <w:ind w:left="0" w:firstLine="720"/>
        <w:jc w:val="both"/>
      </w:pPr>
      <w:r>
        <w:t xml:space="preserve"> Пројекти се могу односити на капитална улагања, унапређење процедуре у јавној администрацији, усавршавање државних службеника и намештеника и сличне подухвате.</w:t>
      </w:r>
    </w:p>
    <w:p w14:paraId="02D716B8">
      <w:pPr>
        <w:pStyle w:val="20"/>
        <w:ind w:left="0" w:firstLine="720"/>
        <w:jc w:val="both"/>
      </w:pPr>
      <w:r>
        <w:t xml:space="preserve">Такође, пројекти могу представљати краткорочни инструмент утврђене јавне политике. Јединице локалне самоуправе (у даљем тексту: ЈЛС) своју програмску структуру утврђују на основу листе програма и програмских активности униформисаних за све ЈЛС. У тој листи је за програме и програмске активности утврђена њихова шифра, назив, сектор коме припадају и сврха. </w:t>
      </w:r>
    </w:p>
    <w:p w14:paraId="108F479F">
      <w:pPr>
        <w:pStyle w:val="20"/>
        <w:ind w:left="0" w:firstLine="720"/>
        <w:jc w:val="both"/>
      </w:pPr>
      <w:r>
        <w:t>Министарство финансија је у сарадњи са СКГО припремило униформну програмску структуру за ЈЛС која се примењује у изради одлуке о буџету јединица локалне самоуправе и која садржи 17 програма.</w:t>
      </w:r>
    </w:p>
    <w:p w14:paraId="63BB49C5">
      <w:pPr>
        <w:pStyle w:val="20"/>
        <w:ind w:left="0"/>
        <w:jc w:val="both"/>
      </w:pPr>
      <w:r>
        <w:t xml:space="preserve"> </w:t>
      </w:r>
      <w:r>
        <w:tab/>
      </w:r>
      <w:r>
        <w:t xml:space="preserve">Министарство финансија је такође у сарадњи са СКГО припремило документ који садржи циљеве програма и програмских активности и листу униформних индикатора који треба у значајној мери да олакша припрему буџета од стране локалних власти и осигура униформност и упоредивост садржине програмских буџета ЈЛС. </w:t>
      </w:r>
    </w:p>
    <w:p w14:paraId="230A0573">
      <w:pPr>
        <w:pStyle w:val="20"/>
        <w:ind w:left="0" w:firstLine="720"/>
        <w:jc w:val="both"/>
      </w:pPr>
      <w:r>
        <w:t>Упутство за припрему програмског буџета, са анексом 5 којим је дефинисана униформна програмска структура за ЈЛС, као и документ који садржи циљеве програма и програмских активности и листа униформних индикатора може се наћи на сајту Министарства финансија (www.mfin.gov.rs), као и на сајту СКГО (</w:t>
      </w:r>
      <w:r>
        <w:fldChar w:fldCharType="begin"/>
      </w:r>
      <w:r>
        <w:instrText xml:space="preserve"> HYPERLINK "http://www.skgo.org/" \h </w:instrText>
      </w:r>
      <w:r>
        <w:fldChar w:fldCharType="separate"/>
      </w:r>
      <w:r>
        <w:rPr>
          <w:rStyle w:val="10"/>
        </w:rPr>
        <w:t>www.skgo.org</w:t>
      </w:r>
      <w:r>
        <w:rPr>
          <w:rStyle w:val="10"/>
        </w:rPr>
        <w:fldChar w:fldCharType="end"/>
      </w:r>
      <w:r>
        <w:t xml:space="preserve">). </w:t>
      </w:r>
    </w:p>
    <w:p w14:paraId="527FE26B">
      <w:pPr>
        <w:pStyle w:val="20"/>
        <w:ind w:left="0" w:firstLine="720"/>
        <w:jc w:val="both"/>
      </w:pPr>
    </w:p>
    <w:p w14:paraId="0F1E1451">
      <w:pPr>
        <w:pStyle w:val="20"/>
        <w:ind w:left="0" w:firstLine="720"/>
        <w:jc w:val="both"/>
      </w:pPr>
      <w:r>
        <w:t>Напомене везане за попуњавање табела:</w:t>
      </w:r>
    </w:p>
    <w:p w14:paraId="0FFE1B0E">
      <w:pPr>
        <w:pStyle w:val="20"/>
        <w:ind w:left="0" w:firstLine="720"/>
        <w:jc w:val="both"/>
      </w:pPr>
      <w:r>
        <w:t>Табеле се достављају у штампаном облику, са печатом и потписом функционера буџетског корисника;</w:t>
      </w:r>
    </w:p>
    <w:p w14:paraId="2260A155">
      <w:pPr>
        <w:pStyle w:val="20"/>
        <w:ind w:left="0" w:firstLine="720"/>
        <w:jc w:val="both"/>
      </w:pPr>
      <w:r>
        <w:t>Износи се уносе у хиљадама динара.</w:t>
      </w:r>
    </w:p>
    <w:p w14:paraId="701A0B06">
      <w:pPr>
        <w:pStyle w:val="19"/>
        <w:jc w:val="both"/>
      </w:pPr>
    </w:p>
    <w:p w14:paraId="3225DA85">
      <w:pPr>
        <w:pStyle w:val="19"/>
      </w:pPr>
      <w:r>
        <w:t xml:space="preserve">                                                                                                             Марија Медаровић</w:t>
      </w:r>
    </w:p>
    <w:p w14:paraId="713CE52C">
      <w:pPr>
        <w:pStyle w:val="19"/>
      </w:pPr>
      <w:r>
        <w:t xml:space="preserve">                                                                Шеф одсека за буџет финасије, локалну пореску администрацију,</w:t>
      </w:r>
    </w:p>
    <w:p w14:paraId="4830C66A">
      <w:pPr>
        <w:pStyle w:val="19"/>
      </w:pPr>
      <w:r>
        <w:t xml:space="preserve">                                                                                      привреду и локални економски развој</w:t>
      </w:r>
    </w:p>
    <w:sectPr>
      <w:pgSz w:w="12240" w:h="15840"/>
      <w:pgMar w:top="1134" w:right="1304" w:bottom="1304" w:left="1440" w:header="0" w:footer="0" w:gutter="0"/>
      <w:cols w:space="720" w:num="1"/>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Liberation Serif;Times New Roma">
    <w:altName w:val="Liberation Mono"/>
    <w:panose1 w:val="00000000000000000000"/>
    <w:charset w:val="00"/>
    <w:family w:val="roman"/>
    <w:pitch w:val="default"/>
    <w:sig w:usb0="00000000" w:usb1="00000000" w:usb2="00000000" w:usb3="00000000" w:csb0="00000000" w:csb1="00000000"/>
  </w:font>
  <w:font w:name="Liberation Sans">
    <w:panose1 w:val="020B0604020202020204"/>
    <w:charset w:val="00"/>
    <w:family w:val="swiss"/>
    <w:pitch w:val="default"/>
    <w:sig w:usb0="E0000AFF" w:usb1="500078FF" w:usb2="00000021" w:usb3="00000000" w:csb0="600001BF" w:csb1="DFF70000"/>
  </w:font>
  <w:font w:name="Microsoft YaHei">
    <w:panose1 w:val="020B0503020204020204"/>
    <w:charset w:val="86"/>
    <w:family w:val="roman"/>
    <w:pitch w:val="default"/>
    <w:sig w:usb0="80000287" w:usb1="2ACF3C50" w:usb2="00000016" w:usb3="00000000" w:csb0="0004001F" w:csb1="00000000"/>
  </w:font>
  <w:font w:name="Symbol">
    <w:panose1 w:val="05050102010706020507"/>
    <w:charset w:val="02"/>
    <w:family w:val="decorative"/>
    <w:pitch w:val="default"/>
    <w:sig w:usb0="00000000" w:usb1="00000000" w:usb2="00000000" w:usb3="00000000" w:csb0="80000000" w:csb1="00000000"/>
  </w:font>
  <w:font w:name="Arial MT">
    <w:altName w:val="Arial"/>
    <w:panose1 w:val="00000000000000000000"/>
    <w:charset w:val="01"/>
    <w:family w:val="swiss"/>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E306ED"/>
    <w:multiLevelType w:val="multilevel"/>
    <w:tmpl w:val="B5E306ED"/>
    <w:lvl w:ilvl="0" w:tentative="0">
      <w:start w:val="0"/>
      <w:numFmt w:val="bullet"/>
      <w:lvlText w:val="•"/>
      <w:lvlJc w:val="left"/>
      <w:pPr>
        <w:ind w:left="830" w:hanging="360"/>
      </w:pPr>
      <w:rPr>
        <w:rFonts w:hint="default" w:ascii="Arial MT" w:hAnsi="Arial MT" w:eastAsia="Arial MT" w:cs="Arial MT"/>
        <w:b w:val="0"/>
        <w:bCs w:val="0"/>
        <w:i w:val="0"/>
        <w:iCs w:val="0"/>
        <w:spacing w:val="0"/>
        <w:w w:val="100"/>
        <w:sz w:val="24"/>
        <w:szCs w:val="24"/>
        <w:lang w:val="zh-CN" w:eastAsia="en-US" w:bidi="ar-SA"/>
      </w:rPr>
    </w:lvl>
    <w:lvl w:ilvl="1" w:tentative="0">
      <w:start w:val="0"/>
      <w:numFmt w:val="bullet"/>
      <w:lvlText w:val="•"/>
      <w:lvlJc w:val="left"/>
      <w:pPr>
        <w:ind w:left="1748" w:hanging="360"/>
      </w:pPr>
      <w:rPr>
        <w:rFonts w:hint="default"/>
        <w:lang w:val="zh-CN" w:eastAsia="en-US" w:bidi="ar-SA"/>
      </w:rPr>
    </w:lvl>
    <w:lvl w:ilvl="2" w:tentative="0">
      <w:start w:val="0"/>
      <w:numFmt w:val="bullet"/>
      <w:lvlText w:val="•"/>
      <w:lvlJc w:val="left"/>
      <w:pPr>
        <w:ind w:left="2656" w:hanging="360"/>
      </w:pPr>
      <w:rPr>
        <w:rFonts w:hint="default"/>
        <w:lang w:val="zh-CN" w:eastAsia="en-US" w:bidi="ar-SA"/>
      </w:rPr>
    </w:lvl>
    <w:lvl w:ilvl="3" w:tentative="0">
      <w:start w:val="0"/>
      <w:numFmt w:val="bullet"/>
      <w:lvlText w:val="•"/>
      <w:lvlJc w:val="left"/>
      <w:pPr>
        <w:ind w:left="3565" w:hanging="360"/>
      </w:pPr>
      <w:rPr>
        <w:rFonts w:hint="default"/>
        <w:lang w:val="zh-CN" w:eastAsia="en-US" w:bidi="ar-SA"/>
      </w:rPr>
    </w:lvl>
    <w:lvl w:ilvl="4" w:tentative="0">
      <w:start w:val="0"/>
      <w:numFmt w:val="bullet"/>
      <w:lvlText w:val="•"/>
      <w:lvlJc w:val="left"/>
      <w:pPr>
        <w:ind w:left="4473" w:hanging="360"/>
      </w:pPr>
      <w:rPr>
        <w:rFonts w:hint="default"/>
        <w:lang w:val="zh-CN" w:eastAsia="en-US" w:bidi="ar-SA"/>
      </w:rPr>
    </w:lvl>
    <w:lvl w:ilvl="5" w:tentative="0">
      <w:start w:val="0"/>
      <w:numFmt w:val="bullet"/>
      <w:lvlText w:val="•"/>
      <w:lvlJc w:val="left"/>
      <w:pPr>
        <w:ind w:left="5381" w:hanging="360"/>
      </w:pPr>
      <w:rPr>
        <w:rFonts w:hint="default"/>
        <w:lang w:val="zh-CN" w:eastAsia="en-US" w:bidi="ar-SA"/>
      </w:rPr>
    </w:lvl>
    <w:lvl w:ilvl="6" w:tentative="0">
      <w:start w:val="0"/>
      <w:numFmt w:val="bullet"/>
      <w:lvlText w:val="•"/>
      <w:lvlJc w:val="left"/>
      <w:pPr>
        <w:ind w:left="6290" w:hanging="360"/>
      </w:pPr>
      <w:rPr>
        <w:rFonts w:hint="default"/>
        <w:lang w:val="zh-CN" w:eastAsia="en-US" w:bidi="ar-SA"/>
      </w:rPr>
    </w:lvl>
    <w:lvl w:ilvl="7" w:tentative="0">
      <w:start w:val="0"/>
      <w:numFmt w:val="bullet"/>
      <w:lvlText w:val="•"/>
      <w:lvlJc w:val="left"/>
      <w:pPr>
        <w:ind w:left="7198" w:hanging="360"/>
      </w:pPr>
      <w:rPr>
        <w:rFonts w:hint="default"/>
        <w:lang w:val="zh-CN" w:eastAsia="en-US" w:bidi="ar-SA"/>
      </w:rPr>
    </w:lvl>
    <w:lvl w:ilvl="8" w:tentative="0">
      <w:start w:val="0"/>
      <w:numFmt w:val="bullet"/>
      <w:lvlText w:val="•"/>
      <w:lvlJc w:val="left"/>
      <w:pPr>
        <w:ind w:left="8106" w:hanging="360"/>
      </w:pPr>
      <w:rPr>
        <w:rFonts w:hint="default"/>
        <w:lang w:val="zh-CN" w:eastAsia="en-US" w:bidi="ar-SA"/>
      </w:rPr>
    </w:lvl>
  </w:abstractNum>
  <w:abstractNum w:abstractNumId="1">
    <w:nsid w:val="FCC312E9"/>
    <w:multiLevelType w:val="singleLevel"/>
    <w:tmpl w:val="FCC312E9"/>
    <w:lvl w:ilvl="0" w:tentative="0">
      <w:start w:val="1"/>
      <w:numFmt w:val="lowerLetter"/>
      <w:suff w:val="space"/>
      <w:lvlText w:val="%1)"/>
      <w:lvlJc w:val="left"/>
    </w:lvl>
  </w:abstractNum>
  <w:abstractNum w:abstractNumId="2">
    <w:nsid w:val="1BF01CEA"/>
    <w:multiLevelType w:val="singleLevel"/>
    <w:tmpl w:val="1BF01CEA"/>
    <w:lvl w:ilvl="0" w:tentative="0">
      <w:start w:val="7"/>
      <w:numFmt w:val="decimal"/>
      <w:suff w:val="space"/>
      <w:lvlText w:val="%1."/>
      <w:lvlJc w:val="left"/>
      <w:rPr>
        <w:rFonts w:hint="default"/>
        <w:b/>
        <w:bCs/>
      </w:rPr>
    </w:lvl>
  </w:abstractNum>
  <w:abstractNum w:abstractNumId="3">
    <w:nsid w:val="206B6802"/>
    <w:multiLevelType w:val="singleLevel"/>
    <w:tmpl w:val="206B6802"/>
    <w:lvl w:ilvl="0" w:tentative="0">
      <w:start w:val="1"/>
      <w:numFmt w:val="decimal"/>
      <w:suff w:val="space"/>
      <w:lvlText w:val="%1."/>
      <w:lvlJc w:val="left"/>
    </w:lvl>
  </w:abstractNum>
  <w:abstractNum w:abstractNumId="4">
    <w:nsid w:val="59ADCABA"/>
    <w:multiLevelType w:val="multilevel"/>
    <w:tmpl w:val="59ADCABA"/>
    <w:lvl w:ilvl="0" w:tentative="0">
      <w:start w:val="0"/>
      <w:numFmt w:val="bullet"/>
      <w:lvlText w:val=""/>
      <w:lvlJc w:val="left"/>
      <w:pPr>
        <w:ind w:left="19" w:hanging="143"/>
      </w:pPr>
      <w:rPr>
        <w:rFonts w:hint="default" w:ascii="Symbol" w:hAnsi="Symbol" w:eastAsia="Symbol" w:cs="Symbol"/>
        <w:b w:val="0"/>
        <w:bCs w:val="0"/>
        <w:i w:val="0"/>
        <w:iCs w:val="0"/>
        <w:spacing w:val="0"/>
        <w:w w:val="100"/>
        <w:sz w:val="24"/>
        <w:szCs w:val="24"/>
        <w:lang w:val="zh-CN" w:eastAsia="en-US" w:bidi="ar-SA"/>
      </w:rPr>
    </w:lvl>
    <w:lvl w:ilvl="1" w:tentative="0">
      <w:start w:val="0"/>
      <w:numFmt w:val="bullet"/>
      <w:lvlText w:val="•"/>
      <w:lvlJc w:val="left"/>
      <w:pPr>
        <w:ind w:left="1010" w:hanging="143"/>
      </w:pPr>
      <w:rPr>
        <w:rFonts w:hint="default"/>
        <w:lang w:val="zh-CN" w:eastAsia="en-US" w:bidi="ar-SA"/>
      </w:rPr>
    </w:lvl>
    <w:lvl w:ilvl="2" w:tentative="0">
      <w:start w:val="0"/>
      <w:numFmt w:val="bullet"/>
      <w:lvlText w:val="•"/>
      <w:lvlJc w:val="left"/>
      <w:pPr>
        <w:ind w:left="2000" w:hanging="143"/>
      </w:pPr>
      <w:rPr>
        <w:rFonts w:hint="default"/>
        <w:lang w:val="zh-CN" w:eastAsia="en-US" w:bidi="ar-SA"/>
      </w:rPr>
    </w:lvl>
    <w:lvl w:ilvl="3" w:tentative="0">
      <w:start w:val="0"/>
      <w:numFmt w:val="bullet"/>
      <w:lvlText w:val="•"/>
      <w:lvlJc w:val="left"/>
      <w:pPr>
        <w:ind w:left="2991" w:hanging="143"/>
      </w:pPr>
      <w:rPr>
        <w:rFonts w:hint="default"/>
        <w:lang w:val="zh-CN" w:eastAsia="en-US" w:bidi="ar-SA"/>
      </w:rPr>
    </w:lvl>
    <w:lvl w:ilvl="4" w:tentative="0">
      <w:start w:val="0"/>
      <w:numFmt w:val="bullet"/>
      <w:lvlText w:val="•"/>
      <w:lvlJc w:val="left"/>
      <w:pPr>
        <w:ind w:left="3981" w:hanging="143"/>
      </w:pPr>
      <w:rPr>
        <w:rFonts w:hint="default"/>
        <w:lang w:val="zh-CN" w:eastAsia="en-US" w:bidi="ar-SA"/>
      </w:rPr>
    </w:lvl>
    <w:lvl w:ilvl="5" w:tentative="0">
      <w:start w:val="0"/>
      <w:numFmt w:val="bullet"/>
      <w:lvlText w:val="•"/>
      <w:lvlJc w:val="left"/>
      <w:pPr>
        <w:ind w:left="4971" w:hanging="143"/>
      </w:pPr>
      <w:rPr>
        <w:rFonts w:hint="default"/>
        <w:lang w:val="zh-CN" w:eastAsia="en-US" w:bidi="ar-SA"/>
      </w:rPr>
    </w:lvl>
    <w:lvl w:ilvl="6" w:tentative="0">
      <w:start w:val="0"/>
      <w:numFmt w:val="bullet"/>
      <w:lvlText w:val="•"/>
      <w:lvlJc w:val="left"/>
      <w:pPr>
        <w:ind w:left="5962" w:hanging="143"/>
      </w:pPr>
      <w:rPr>
        <w:rFonts w:hint="default"/>
        <w:lang w:val="zh-CN" w:eastAsia="en-US" w:bidi="ar-SA"/>
      </w:rPr>
    </w:lvl>
    <w:lvl w:ilvl="7" w:tentative="0">
      <w:start w:val="0"/>
      <w:numFmt w:val="bullet"/>
      <w:lvlText w:val="•"/>
      <w:lvlJc w:val="left"/>
      <w:pPr>
        <w:ind w:left="6952" w:hanging="143"/>
      </w:pPr>
      <w:rPr>
        <w:rFonts w:hint="default"/>
        <w:lang w:val="zh-CN" w:eastAsia="en-US" w:bidi="ar-SA"/>
      </w:rPr>
    </w:lvl>
    <w:lvl w:ilvl="8" w:tentative="0">
      <w:start w:val="0"/>
      <w:numFmt w:val="bullet"/>
      <w:lvlText w:val="•"/>
      <w:lvlJc w:val="left"/>
      <w:pPr>
        <w:ind w:left="7942" w:hanging="143"/>
      </w:pPr>
      <w:rPr>
        <w:rFonts w:hint="default"/>
        <w:lang w:val="zh-CN" w:eastAsia="en-US" w:bidi="ar-SA"/>
      </w:r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615F"/>
    <w:rsid w:val="00083EF2"/>
    <w:rsid w:val="00107091"/>
    <w:rsid w:val="00227D51"/>
    <w:rsid w:val="002F3801"/>
    <w:rsid w:val="003860E8"/>
    <w:rsid w:val="00392445"/>
    <w:rsid w:val="00485A33"/>
    <w:rsid w:val="00657954"/>
    <w:rsid w:val="007A6264"/>
    <w:rsid w:val="007B4D7A"/>
    <w:rsid w:val="0098615F"/>
    <w:rsid w:val="00B46E61"/>
    <w:rsid w:val="00E65047"/>
    <w:rsid w:val="00F963D2"/>
    <w:rsid w:val="00FC4AD2"/>
    <w:rsid w:val="02BB6F86"/>
    <w:rsid w:val="0EE76D6A"/>
    <w:rsid w:val="148D30EF"/>
    <w:rsid w:val="180346BF"/>
    <w:rsid w:val="19660A5B"/>
    <w:rsid w:val="29FD638B"/>
    <w:rsid w:val="2FB73417"/>
    <w:rsid w:val="33781C55"/>
    <w:rsid w:val="3B946363"/>
    <w:rsid w:val="5CD9020D"/>
    <w:rsid w:val="65BB49AE"/>
    <w:rsid w:val="668432C1"/>
    <w:rsid w:val="69503AFC"/>
    <w:rsid w:val="69BF71BA"/>
    <w:rsid w:val="6A1340A1"/>
    <w:rsid w:val="6A8F7EDA"/>
    <w:rsid w:val="75DE68EF"/>
    <w:rsid w:val="79D15A74"/>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1"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paragraph" w:styleId="2">
    <w:name w:val="heading 1"/>
    <w:basedOn w:val="1"/>
    <w:qFormat/>
    <w:uiPriority w:val="1"/>
    <w:pPr>
      <w:ind w:left="4"/>
      <w:outlineLvl w:val="1"/>
    </w:pPr>
    <w:rPr>
      <w:rFonts w:ascii="Times New Roman" w:hAnsi="Times New Roman" w:eastAsia="Times New Roman" w:cs="Times New Roman"/>
      <w:b/>
      <w:bCs/>
      <w:sz w:val="24"/>
      <w:szCs w:val="24"/>
      <w:lang w:val="zh-CN" w:eastAsia="en-US" w:bidi="ar-SA"/>
    </w:rPr>
  </w:style>
  <w:style w:type="paragraph" w:styleId="3">
    <w:name w:val="heading 2"/>
    <w:basedOn w:val="1"/>
    <w:qFormat/>
    <w:uiPriority w:val="1"/>
    <w:pPr>
      <w:ind w:left="12"/>
      <w:outlineLvl w:val="2"/>
    </w:pPr>
    <w:rPr>
      <w:rFonts w:ascii="Times New Roman" w:hAnsi="Times New Roman" w:eastAsia="Times New Roman" w:cs="Times New Roman"/>
      <w:b/>
      <w:bCs/>
      <w:i/>
      <w:iCs/>
      <w:sz w:val="24"/>
      <w:szCs w:val="24"/>
      <w:lang w:val="zh-CN" w:eastAsia="en-US" w:bidi="ar-SA"/>
    </w:rPr>
  </w:style>
  <w:style w:type="character" w:default="1" w:styleId="4">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6">
    <w:name w:val="Body Text"/>
    <w:basedOn w:val="1"/>
    <w:qFormat/>
    <w:uiPriority w:val="0"/>
    <w:pPr>
      <w:spacing w:after="140"/>
    </w:pPr>
  </w:style>
  <w:style w:type="paragraph" w:styleId="7">
    <w:name w:val="caption"/>
    <w:basedOn w:val="1"/>
    <w:qFormat/>
    <w:uiPriority w:val="0"/>
    <w:pPr>
      <w:suppressLineNumbers/>
      <w:spacing w:before="120" w:after="120"/>
    </w:pPr>
    <w:rPr>
      <w:rFonts w:cs="Arial"/>
      <w:i/>
      <w:iCs/>
      <w:sz w:val="24"/>
      <w:szCs w:val="24"/>
    </w:rPr>
  </w:style>
  <w:style w:type="paragraph" w:styleId="8">
    <w:name w:val="footer"/>
    <w:basedOn w:val="1"/>
    <w:link w:val="14"/>
    <w:semiHidden/>
    <w:unhideWhenUsed/>
    <w:uiPriority w:val="99"/>
    <w:pPr>
      <w:tabs>
        <w:tab w:val="center" w:pos="4680"/>
        <w:tab w:val="right" w:pos="9360"/>
      </w:tabs>
      <w:spacing w:after="0" w:line="240" w:lineRule="auto"/>
    </w:pPr>
  </w:style>
  <w:style w:type="paragraph" w:styleId="9">
    <w:name w:val="header"/>
    <w:basedOn w:val="1"/>
    <w:link w:val="13"/>
    <w:semiHidden/>
    <w:unhideWhenUsed/>
    <w:qFormat/>
    <w:uiPriority w:val="99"/>
    <w:pPr>
      <w:tabs>
        <w:tab w:val="center" w:pos="4680"/>
        <w:tab w:val="right" w:pos="9360"/>
      </w:tabs>
      <w:spacing w:after="0" w:line="240" w:lineRule="auto"/>
    </w:pPr>
  </w:style>
  <w:style w:type="character" w:styleId="10">
    <w:name w:val="Hyperlink"/>
    <w:basedOn w:val="4"/>
    <w:unhideWhenUsed/>
    <w:uiPriority w:val="99"/>
    <w:rPr>
      <w:color w:val="0000FF" w:themeColor="hyperlink"/>
      <w:u w:val="single"/>
      <w14:textFill>
        <w14:solidFill>
          <w14:schemeClr w14:val="hlink"/>
        </w14:solidFill>
      </w14:textFill>
    </w:rPr>
  </w:style>
  <w:style w:type="paragraph" w:styleId="11">
    <w:name w:val="List"/>
    <w:basedOn w:val="6"/>
    <w:uiPriority w:val="0"/>
    <w:rPr>
      <w:rFonts w:cs="Arial"/>
    </w:rPr>
  </w:style>
  <w:style w:type="table" w:styleId="12">
    <w:name w:val="Table Grid"/>
    <w:basedOn w:val="5"/>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customStyle="1" w:styleId="13">
    <w:name w:val="Header Char"/>
    <w:basedOn w:val="4"/>
    <w:link w:val="9"/>
    <w:semiHidden/>
    <w:qFormat/>
    <w:uiPriority w:val="99"/>
  </w:style>
  <w:style w:type="character" w:customStyle="1" w:styleId="14">
    <w:name w:val="Footer Char"/>
    <w:basedOn w:val="4"/>
    <w:link w:val="8"/>
    <w:semiHidden/>
    <w:qFormat/>
    <w:uiPriority w:val="99"/>
  </w:style>
  <w:style w:type="character" w:customStyle="1" w:styleId="15">
    <w:name w:val="WW8Num6z0"/>
    <w:qFormat/>
    <w:uiPriority w:val="0"/>
  </w:style>
  <w:style w:type="character" w:customStyle="1" w:styleId="16">
    <w:name w:val="WW8Num6z1"/>
    <w:qFormat/>
    <w:uiPriority w:val="0"/>
    <w:rPr>
      <w:rFonts w:ascii="Liberation Serif;Times New Roma" w:hAnsi="Liberation Serif;Times New Roma" w:cs="Liberation Serif;Times New Roma"/>
    </w:rPr>
  </w:style>
  <w:style w:type="paragraph" w:customStyle="1" w:styleId="17">
    <w:name w:val="Heading"/>
    <w:basedOn w:val="1"/>
    <w:next w:val="6"/>
    <w:qFormat/>
    <w:uiPriority w:val="0"/>
    <w:pPr>
      <w:keepNext/>
      <w:spacing w:before="240" w:after="120"/>
    </w:pPr>
    <w:rPr>
      <w:rFonts w:ascii="Liberation Sans" w:hAnsi="Liberation Sans" w:eastAsia="Microsoft YaHei" w:cs="Arial"/>
      <w:sz w:val="28"/>
      <w:szCs w:val="28"/>
    </w:rPr>
  </w:style>
  <w:style w:type="paragraph" w:customStyle="1" w:styleId="18">
    <w:name w:val="Index"/>
    <w:basedOn w:val="1"/>
    <w:qFormat/>
    <w:uiPriority w:val="0"/>
    <w:pPr>
      <w:suppressLineNumbers/>
    </w:pPr>
    <w:rPr>
      <w:rFonts w:cs="Arial"/>
    </w:rPr>
  </w:style>
  <w:style w:type="paragraph" w:styleId="19">
    <w:name w:val="No Spacing"/>
    <w:qFormat/>
    <w:uiPriority w:val="1"/>
    <w:rPr>
      <w:rFonts w:asciiTheme="minorHAnsi" w:hAnsiTheme="minorHAnsi" w:eastAsiaTheme="minorHAnsi" w:cstheme="minorBidi"/>
      <w:sz w:val="22"/>
      <w:szCs w:val="22"/>
      <w:lang w:val="en-US" w:eastAsia="en-US" w:bidi="ar-SA"/>
    </w:rPr>
  </w:style>
  <w:style w:type="paragraph" w:styleId="20">
    <w:name w:val="List Paragraph"/>
    <w:basedOn w:val="1"/>
    <w:qFormat/>
    <w:uiPriority w:val="34"/>
    <w:pPr>
      <w:ind w:left="720"/>
      <w:contextualSpacing/>
    </w:pPr>
  </w:style>
  <w:style w:type="paragraph" w:customStyle="1" w:styleId="21">
    <w:name w:val="Header and Footer"/>
    <w:basedOn w:val="1"/>
    <w:qFormat/>
    <w:uiPriority w:val="0"/>
  </w:style>
  <w:style w:type="paragraph" w:customStyle="1" w:styleId="22">
    <w:name w:val="Table Contents"/>
    <w:basedOn w:val="1"/>
    <w:qFormat/>
    <w:uiPriority w:val="0"/>
    <w:pPr>
      <w:suppressLineNumbers/>
    </w:pPr>
  </w:style>
  <w:style w:type="paragraph" w:customStyle="1" w:styleId="23">
    <w:name w:val="Table Heading"/>
    <w:basedOn w:val="22"/>
    <w:qFormat/>
    <w:uiPriority w:val="0"/>
    <w:pPr>
      <w:jc w:val="center"/>
    </w:pPr>
    <w:rPr>
      <w:b/>
      <w:bC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AB34E23-AB9E-410F-B023-DB2CEDE4A39C}">
  <ds:schemaRefs/>
</ds:datastoreItem>
</file>

<file path=docProps/app.xml><?xml version="1.0" encoding="utf-8"?>
<Properties xmlns="http://schemas.openxmlformats.org/officeDocument/2006/extended-properties" xmlns:vt="http://schemas.openxmlformats.org/officeDocument/2006/docPropsVTypes">
  <Template>Normal</Template>
  <Pages>17</Pages>
  <Words>5111</Words>
  <Characters>29133</Characters>
  <Lines>242</Lines>
  <Paragraphs>68</Paragraphs>
  <TotalTime>18</TotalTime>
  <ScaleCrop>false</ScaleCrop>
  <LinksUpToDate>false</LinksUpToDate>
  <CharactersWithSpaces>34176</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2024-07-23T07:52:00Z</dcterms:created>
  <dc:creator>istanoje</dc:creator>
  <cp:lastModifiedBy>irena.stanojevic</cp:lastModifiedBy>
  <cp:lastPrinted>2023-07-27T13:56:00Z</cp:lastPrinted>
  <dcterms:modified xsi:type="dcterms:W3CDTF">2025-08-20T08:23:21Z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KSOProductBuildVer">
    <vt:lpwstr>1033-12.2.0.21931</vt:lpwstr>
  </property>
  <property fmtid="{D5CDD505-2E9C-101B-9397-08002B2CF9AE}" pid="9" name="ICV">
    <vt:lpwstr>B02747E062244FBC95B0DB4C777CE7D6_13</vt:lpwstr>
  </property>
</Properties>
</file>